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22" w:rsidRPr="00DE4A22" w:rsidRDefault="00DE4A22" w:rsidP="00DE4A22">
      <w:pPr>
        <w:bidi/>
        <w:spacing w:after="0" w:line="240" w:lineRule="auto"/>
        <w:ind w:left="-180"/>
        <w:jc w:val="center"/>
        <w:rPr>
          <w:rFonts w:ascii="Times New Roman" w:eastAsia="Times New Roman" w:hAnsi="Times New Roman" w:cs="B Mitra"/>
          <w:b/>
          <w:bCs/>
          <w:sz w:val="24"/>
          <w:szCs w:val="24"/>
        </w:rPr>
      </w:pPr>
      <w:r w:rsidRPr="00DE4A22">
        <w:rPr>
          <w:rFonts w:ascii="Times New Roman" w:eastAsia="Times New Roman" w:hAnsi="Times New Roman" w:cs="B Mitra"/>
          <w:b/>
          <w:bCs/>
          <w:sz w:val="24"/>
          <w:szCs w:val="24"/>
          <w:rtl/>
        </w:rPr>
        <w:t xml:space="preserve">دستورالعمل خريد اعتباري اوراق بهادار در بورس اوراق بهادار تهران </w:t>
      </w:r>
      <w:proofErr w:type="gramStart"/>
      <w:r w:rsidRPr="00DE4A22">
        <w:rPr>
          <w:rFonts w:ascii="Times New Roman" w:eastAsia="Times New Roman" w:hAnsi="Times New Roman" w:cs="B Mitra"/>
          <w:b/>
          <w:bCs/>
          <w:sz w:val="24"/>
          <w:szCs w:val="24"/>
          <w:rtl/>
        </w:rPr>
        <w:t>و فرابورس</w:t>
      </w:r>
      <w:proofErr w:type="gramEnd"/>
      <w:r w:rsidRPr="00DE4A22">
        <w:rPr>
          <w:rFonts w:ascii="Times New Roman" w:eastAsia="Times New Roman" w:hAnsi="Times New Roman" w:cs="B Mitra"/>
          <w:b/>
          <w:bCs/>
          <w:sz w:val="24"/>
          <w:szCs w:val="24"/>
          <w:rtl/>
        </w:rPr>
        <w:t xml:space="preserve"> ايران</w:t>
      </w:r>
    </w:p>
    <w:p w:rsidR="00DE4A22" w:rsidRDefault="00DE4A22" w:rsidP="00DE4A22">
      <w:pPr>
        <w:bidi/>
        <w:spacing w:before="100" w:beforeAutospacing="1" w:after="100" w:afterAutospacing="1" w:line="240" w:lineRule="auto"/>
        <w:ind w:left="-180"/>
        <w:jc w:val="center"/>
        <w:outlineLvl w:val="2"/>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مصوب 09/10/1391 هیئت مدیره سازمان بورس و اوراق بهادار</w:t>
      </w:r>
    </w:p>
    <w:p w:rsidR="00DE4A22" w:rsidRDefault="00DE4A22" w:rsidP="00DE4A22">
      <w:pPr>
        <w:bidi/>
        <w:spacing w:after="0" w:line="240" w:lineRule="auto"/>
        <w:ind w:left="-180"/>
        <w:jc w:val="lowKashida"/>
        <w:rPr>
          <w:rFonts w:ascii="Times New Roman" w:eastAsia="Times New Roman" w:hAnsi="Times New Roman" w:cs="B Mitra"/>
          <w:sz w:val="24"/>
          <w:szCs w:val="24"/>
          <w:rtl/>
          <w:lang w:bidi="fa-IR"/>
        </w:rPr>
      </w:pPr>
    </w:p>
    <w:p w:rsidR="00DE4A22" w:rsidRPr="00DE4A22" w:rsidRDefault="00DE4A22" w:rsidP="00DE4A22">
      <w:pPr>
        <w:bidi/>
        <w:spacing w:after="0"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به منظور كنترل ريسك اعتباري شركت‌هاي كارگزاري كه براي خريد اوراق بهادار به مشتريان خود اعتبار مي‌دهند </w:t>
      </w:r>
      <w:proofErr w:type="gramStart"/>
      <w:r w:rsidRPr="00DE4A22">
        <w:rPr>
          <w:rFonts w:ascii="Times New Roman" w:eastAsia="Times New Roman" w:hAnsi="Times New Roman" w:cs="B Nazanin"/>
          <w:sz w:val="24"/>
          <w:szCs w:val="24"/>
          <w:rtl/>
        </w:rPr>
        <w:t>و تنظيم</w:t>
      </w:r>
      <w:proofErr w:type="gramEnd"/>
      <w:r w:rsidRPr="00DE4A22">
        <w:rPr>
          <w:rFonts w:ascii="Times New Roman" w:eastAsia="Times New Roman" w:hAnsi="Times New Roman" w:cs="B Nazanin"/>
          <w:sz w:val="24"/>
          <w:szCs w:val="24"/>
          <w:rtl/>
        </w:rPr>
        <w:t xml:space="preserve"> سازوكار اجرايي مربوطه، اين دستورالعمل تنظيم و به تصويب هيأت مديرة سازمان و بورس اوراق بهادار رسيده است.</w:t>
      </w:r>
    </w:p>
    <w:p w:rsidR="00DE4A22" w:rsidRPr="00DE4A22" w:rsidRDefault="00DE4A22" w:rsidP="00DE4A22">
      <w:pPr>
        <w:numPr>
          <w:ilvl w:val="0"/>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اصطلاحات </w:t>
      </w:r>
      <w:proofErr w:type="gramStart"/>
      <w:r w:rsidRPr="00DE4A22">
        <w:rPr>
          <w:rFonts w:ascii="Times New Roman" w:eastAsia="Times New Roman" w:hAnsi="Times New Roman" w:cs="B Nazanin"/>
          <w:sz w:val="24"/>
          <w:szCs w:val="24"/>
          <w:rtl/>
        </w:rPr>
        <w:t>و واژگاني</w:t>
      </w:r>
      <w:proofErr w:type="gramEnd"/>
      <w:r w:rsidRPr="00DE4A22">
        <w:rPr>
          <w:rFonts w:ascii="Times New Roman" w:eastAsia="Times New Roman" w:hAnsi="Times New Roman" w:cs="B Nazanin"/>
          <w:sz w:val="24"/>
          <w:szCs w:val="24"/>
          <w:rtl/>
        </w:rPr>
        <w:t xml:space="preserve"> كه در مادۀ 1 قانون بازار اوراق بهادار جمهوري اسلامي ايران تعريف شده‌اند، به همان معاني در اين دستورالعمل كاربرد دارند. واژگان ديگر، داراي معاني زير هستند:</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اخطاريۀ كسري حساب تضمين: اخطاريه‌اي است كه كارگزار براساس اين دستورالعمل تحت همين عنوان صادر </w:t>
      </w:r>
      <w:proofErr w:type="gramStart"/>
      <w:r w:rsidRPr="00DE4A22">
        <w:rPr>
          <w:rFonts w:ascii="Times New Roman" w:eastAsia="Times New Roman" w:hAnsi="Times New Roman" w:cs="B Nazanin"/>
          <w:sz w:val="24"/>
          <w:szCs w:val="24"/>
          <w:rtl/>
        </w:rPr>
        <w:t>و براي</w:t>
      </w:r>
      <w:proofErr w:type="gramEnd"/>
      <w:r w:rsidRPr="00DE4A22">
        <w:rPr>
          <w:rFonts w:ascii="Times New Roman" w:eastAsia="Times New Roman" w:hAnsi="Times New Roman" w:cs="B Nazanin"/>
          <w:sz w:val="24"/>
          <w:szCs w:val="24"/>
          <w:rtl/>
        </w:rPr>
        <w:t xml:space="preserve"> مشتري ارسال مي‌كند؛</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اعتبار: مبلغي است به ريال كه با رعايت اين دستورالعمل </w:t>
      </w:r>
      <w:proofErr w:type="gramStart"/>
      <w:r w:rsidRPr="00DE4A22">
        <w:rPr>
          <w:rFonts w:ascii="Times New Roman" w:eastAsia="Times New Roman" w:hAnsi="Times New Roman" w:cs="B Nazanin"/>
          <w:sz w:val="24"/>
          <w:szCs w:val="24"/>
          <w:rtl/>
        </w:rPr>
        <w:t>و قرارداد</w:t>
      </w:r>
      <w:proofErr w:type="gramEnd"/>
      <w:r w:rsidRPr="00DE4A22">
        <w:rPr>
          <w:rFonts w:ascii="Times New Roman" w:eastAsia="Times New Roman" w:hAnsi="Times New Roman" w:cs="B Nazanin"/>
          <w:sz w:val="24"/>
          <w:szCs w:val="24"/>
          <w:rtl/>
        </w:rPr>
        <w:t xml:space="preserve"> خريد اعتباري، كارگزار اعتباردهنده براي مشتري تعيين مي‌كند و در چارچوب قرارداد خريد اعتباري و با رعايت اين دستورالعمل، تا سقف مبلغ مذكور، ثمن خريدهاي اعتباري مشتري را از جانب مشتري پرداخت و مبلغ پرداختي را به حساب بدهي تجاري مشتري منظور مي‌نمايد؛</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3</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بدهي تجاري: خالص مبلغ بدهي مشتري به كارگزار اعتباردهنده بابت خريد اوراق بهادار </w:t>
      </w:r>
      <w:proofErr w:type="gramStart"/>
      <w:r w:rsidRPr="00DE4A22">
        <w:rPr>
          <w:rFonts w:ascii="Times New Roman" w:eastAsia="Times New Roman" w:hAnsi="Times New Roman" w:cs="B Nazanin"/>
          <w:sz w:val="24"/>
          <w:szCs w:val="24"/>
          <w:rtl/>
        </w:rPr>
        <w:t>و كارمزدها</w:t>
      </w:r>
      <w:proofErr w:type="gramEnd"/>
      <w:r w:rsidRPr="00DE4A22">
        <w:rPr>
          <w:rFonts w:ascii="Times New Roman" w:eastAsia="Times New Roman" w:hAnsi="Times New Roman" w:cs="B Nazanin"/>
          <w:sz w:val="24"/>
          <w:szCs w:val="24"/>
          <w:rtl/>
        </w:rPr>
        <w:t xml:space="preserve"> و هزينه‌هاي مربوطه پس از كسر بستانكاري مشتري است؛</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4</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به‌روزرساني حساب تضمين: محاسبة ارزش تعديل شدۀ تضامين مشتري توسط كارگزار اعتباردهنده در هر مقطع زماني براساس اين دستورالعمل </w:t>
      </w:r>
      <w:proofErr w:type="gramStart"/>
      <w:r w:rsidRPr="00DE4A22">
        <w:rPr>
          <w:rFonts w:ascii="Times New Roman" w:eastAsia="Times New Roman" w:hAnsi="Times New Roman" w:cs="B Nazanin"/>
          <w:sz w:val="24"/>
          <w:szCs w:val="24"/>
          <w:rtl/>
        </w:rPr>
        <w:t>و متناسباً</w:t>
      </w:r>
      <w:proofErr w:type="gramEnd"/>
      <w:r w:rsidRPr="00DE4A22">
        <w:rPr>
          <w:rFonts w:ascii="Times New Roman" w:eastAsia="Times New Roman" w:hAnsi="Times New Roman" w:cs="B Nazanin"/>
          <w:sz w:val="24"/>
          <w:szCs w:val="24"/>
          <w:rtl/>
        </w:rPr>
        <w:t xml:space="preserve"> تعديل حساب تضمين مشتري؛</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5</w:t>
      </w:r>
      <w:r w:rsidRPr="00DE4A22">
        <w:rPr>
          <w:rFonts w:ascii="Times New Roman" w:eastAsia="Times New Roman" w:hAnsi="Times New Roman" w:cs="B Nazanin"/>
          <w:b/>
          <w:bCs/>
          <w:sz w:val="24"/>
          <w:szCs w:val="24"/>
        </w:rPr>
        <w:t xml:space="preserve">: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تسويۀ نهايي: منظور تسويه كامل بدهي تجاري مشتري به كارگزار اعتباردهنده است؛</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lastRenderedPageBreak/>
        <w:t xml:space="preserve">بند </w:t>
      </w:r>
      <w:r>
        <w:rPr>
          <w:rFonts w:ascii="Times New Roman" w:eastAsia="Times New Roman" w:hAnsi="Times New Roman" w:cs="B Nazanin" w:hint="cs"/>
          <w:b/>
          <w:bCs/>
          <w:sz w:val="24"/>
          <w:szCs w:val="24"/>
          <w:rtl/>
        </w:rPr>
        <w:t>6</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حساب تضمين: حسابي است كه كارگزار در دفاتر خود براي هر مشتري كه با وي قرارداد خريد اعتباري منعقد نموده افتتاح كرده </w:t>
      </w:r>
      <w:proofErr w:type="gramStart"/>
      <w:r w:rsidRPr="00DE4A22">
        <w:rPr>
          <w:rFonts w:ascii="Times New Roman" w:eastAsia="Times New Roman" w:hAnsi="Times New Roman" w:cs="B Nazanin"/>
          <w:sz w:val="24"/>
          <w:szCs w:val="24"/>
          <w:rtl/>
        </w:rPr>
        <w:t>و ارزش</w:t>
      </w:r>
      <w:proofErr w:type="gramEnd"/>
      <w:r w:rsidRPr="00DE4A22">
        <w:rPr>
          <w:rFonts w:ascii="Times New Roman" w:eastAsia="Times New Roman" w:hAnsi="Times New Roman" w:cs="B Nazanin"/>
          <w:sz w:val="24"/>
          <w:szCs w:val="24"/>
          <w:rtl/>
        </w:rPr>
        <w:t xml:space="preserve"> تضامين مشتري بابت تخصيص اعتبار به وي را پس از اعمال تعديلات موضوع اين دستورالعمل در آن ثبت مي‌كند؛</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7</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خريد اعتباري: خريد اوراق بهادار توسط كارگزار به سفارش مشتري براي وي است كه كارگزار براساس قرارداد خريد اعتباري، قسمتي از ثمن معامله را تا سقف اعتبار تخصيصي، پرداخت </w:t>
      </w:r>
      <w:proofErr w:type="gramStart"/>
      <w:r w:rsidRPr="00DE4A22">
        <w:rPr>
          <w:rFonts w:ascii="Times New Roman" w:eastAsia="Times New Roman" w:hAnsi="Times New Roman" w:cs="B Nazanin"/>
          <w:sz w:val="24"/>
          <w:szCs w:val="24"/>
          <w:rtl/>
        </w:rPr>
        <w:t>و معادل</w:t>
      </w:r>
      <w:proofErr w:type="gramEnd"/>
      <w:r w:rsidRPr="00DE4A22">
        <w:rPr>
          <w:rFonts w:ascii="Times New Roman" w:eastAsia="Times New Roman" w:hAnsi="Times New Roman" w:cs="B Nazanin"/>
          <w:sz w:val="24"/>
          <w:szCs w:val="24"/>
          <w:rtl/>
        </w:rPr>
        <w:t xml:space="preserve"> مبلغ پرداختي را به بدهي تجاري مشتري منظور مي‌نمايد. تسويه اين بدهي، تابع قرارداد خريد اعتباري است؛</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8</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قرارداد خريد اعتباري: قراردادي كه بين مشتري </w:t>
      </w:r>
      <w:proofErr w:type="gramStart"/>
      <w:r w:rsidRPr="00DE4A22">
        <w:rPr>
          <w:rFonts w:ascii="Times New Roman" w:eastAsia="Times New Roman" w:hAnsi="Times New Roman" w:cs="B Nazanin"/>
          <w:sz w:val="24"/>
          <w:szCs w:val="24"/>
          <w:rtl/>
        </w:rPr>
        <w:t>و كارگزار</w:t>
      </w:r>
      <w:proofErr w:type="gramEnd"/>
      <w:r w:rsidRPr="00DE4A22">
        <w:rPr>
          <w:rFonts w:ascii="Times New Roman" w:eastAsia="Times New Roman" w:hAnsi="Times New Roman" w:cs="B Nazanin"/>
          <w:sz w:val="24"/>
          <w:szCs w:val="24"/>
          <w:rtl/>
        </w:rPr>
        <w:t xml:space="preserve"> به منظور تخصيص اعتبار از طرف كارگزار به مشتري، منعقد مي‌شود و شرايط تخصيص اعتبار و حقوق و تعهدات طرفين براساس آن مشخص مي‌شود؛</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9</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كارگزار اعتباردهنده: كارگزاري است كه قرارداد خريد اعتباري با مشتري منعقد نموده‌است؛</w:t>
      </w:r>
      <w:r w:rsidRPr="00DE4A22">
        <w:rPr>
          <w:rFonts w:ascii="Cambria" w:eastAsia="Times New Roman" w:hAnsi="Cambria" w:cs="Cambria" w:hint="cs"/>
          <w:sz w:val="24"/>
          <w:szCs w:val="24"/>
          <w:rtl/>
        </w:rPr>
        <w:t> </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10</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كارگزار ناظر: در مورد يك ورقۀ بهادار، منظور كارگزاري است كه سفارش فروش آن ورقۀ بهادار صرفاً توسط آن كارگزار قابل اجرا است؛</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شركت سپرده‌گذاري مركزي: منظور شركت سپرده‌گذاري مركزي اوراق بهادار </w:t>
      </w:r>
      <w:proofErr w:type="gramStart"/>
      <w:r w:rsidRPr="00DE4A22">
        <w:rPr>
          <w:rFonts w:ascii="Times New Roman" w:eastAsia="Times New Roman" w:hAnsi="Times New Roman" w:cs="B Nazanin"/>
          <w:sz w:val="24"/>
          <w:szCs w:val="24"/>
          <w:rtl/>
        </w:rPr>
        <w:t>و تسويه</w:t>
      </w:r>
      <w:proofErr w:type="gramEnd"/>
      <w:r w:rsidRPr="00DE4A22">
        <w:rPr>
          <w:rFonts w:ascii="Times New Roman" w:eastAsia="Times New Roman" w:hAnsi="Times New Roman" w:cs="B Nazanin"/>
          <w:sz w:val="24"/>
          <w:szCs w:val="24"/>
          <w:rtl/>
        </w:rPr>
        <w:t xml:space="preserve"> وجوه ايران به شمارۀ ثبت 262549 در مرجع ثبت شركت‌هاي تهران است.</w:t>
      </w:r>
      <w:r w:rsidRPr="00DE4A22">
        <w:rPr>
          <w:rFonts w:ascii="Cambria" w:eastAsia="Times New Roman" w:hAnsi="Cambria" w:cs="Cambria" w:hint="cs"/>
          <w:sz w:val="24"/>
          <w:szCs w:val="24"/>
          <w:rtl/>
        </w:rPr>
        <w:t> </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شخص وابسته: شخص وابسته به شخص حقيقي عبارتند از اقرباي سببي </w:t>
      </w:r>
      <w:proofErr w:type="gramStart"/>
      <w:r w:rsidRPr="00DE4A22">
        <w:rPr>
          <w:rFonts w:ascii="Times New Roman" w:eastAsia="Times New Roman" w:hAnsi="Times New Roman" w:cs="B Nazanin"/>
          <w:sz w:val="24"/>
          <w:szCs w:val="24"/>
          <w:rtl/>
        </w:rPr>
        <w:t>و نسبي</w:t>
      </w:r>
      <w:proofErr w:type="gramEnd"/>
      <w:r w:rsidRPr="00DE4A22">
        <w:rPr>
          <w:rFonts w:ascii="Times New Roman" w:eastAsia="Times New Roman" w:hAnsi="Times New Roman" w:cs="B Nazanin"/>
          <w:sz w:val="24"/>
          <w:szCs w:val="24"/>
          <w:rtl/>
        </w:rPr>
        <w:t xml:space="preserve"> درجۀ اول و دوم و شخص وابسته به شخص حقوقي عبارتست از اشخاص زير:</w:t>
      </w:r>
      <w:r w:rsidRPr="00DE4A22">
        <w:rPr>
          <w:rFonts w:ascii="Cambria" w:eastAsia="Times New Roman" w:hAnsi="Cambria" w:cs="Cambria" w:hint="cs"/>
          <w:sz w:val="24"/>
          <w:szCs w:val="24"/>
          <w:rtl/>
        </w:rPr>
        <w:t>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proofErr w:type="gramStart"/>
      <w:r w:rsidRPr="00DE4A22">
        <w:rPr>
          <w:rFonts w:ascii="Times New Roman" w:eastAsia="Times New Roman" w:hAnsi="Times New Roman" w:cs="B Nazanin"/>
          <w:sz w:val="24"/>
          <w:szCs w:val="24"/>
          <w:rtl/>
        </w:rPr>
        <w:t>الف</w:t>
      </w:r>
      <w:proofErr w:type="gramEnd"/>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Times New Roman" w:hint="cs"/>
          <w:sz w:val="24"/>
          <w:szCs w:val="24"/>
          <w:rtl/>
        </w:rPr>
        <w:t>–</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مديران</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شخص</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حقوقي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و</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اقرباي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درجه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اول</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از</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طبقۀ</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اول</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و</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دوم</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آن‌ها؛</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ب </w:t>
      </w:r>
      <w:r w:rsidRPr="00DE4A22">
        <w:rPr>
          <w:rFonts w:ascii="Times New Roman" w:eastAsia="Times New Roman" w:hAnsi="Times New Roman" w:cs="Times New Roman" w:hint="cs"/>
          <w:sz w:val="24"/>
          <w:szCs w:val="24"/>
          <w:rtl/>
        </w:rPr>
        <w:t>–</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اشخاص</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تحت</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كنترل؛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lastRenderedPageBreak/>
        <w:t>ج- اشخاصي كه كنترل شخص حقوقي را در اختيار دارند؛</w:t>
      </w:r>
      <w:r w:rsidRPr="00DE4A22">
        <w:rPr>
          <w:rFonts w:ascii="Times New Roman" w:eastAsia="Times New Roman" w:hAnsi="Times New Roman" w:cs="B Nazanin"/>
          <w:sz w:val="24"/>
          <w:szCs w:val="24"/>
        </w:rPr>
        <w:t>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د </w:t>
      </w:r>
      <w:r w:rsidRPr="00DE4A22">
        <w:rPr>
          <w:rFonts w:ascii="Times New Roman" w:eastAsia="Times New Roman" w:hAnsi="Times New Roman" w:cs="Times New Roman" w:hint="cs"/>
          <w:sz w:val="24"/>
          <w:szCs w:val="24"/>
          <w:rtl/>
        </w:rPr>
        <w:t>–</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اشخاصي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كه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با</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شخص</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حقوقي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مورد</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نظر</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تحت</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كنترل</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مشترك</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هستند؛</w:t>
      </w:r>
      <w:r w:rsidRPr="00DE4A22">
        <w:rPr>
          <w:rFonts w:ascii="Times New Roman" w:eastAsia="Times New Roman" w:hAnsi="Times New Roman" w:cs="B Nazanin"/>
          <w:sz w:val="24"/>
          <w:szCs w:val="24"/>
        </w:rPr>
        <w:t> </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13</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منافع </w:t>
      </w:r>
      <w:proofErr w:type="gramStart"/>
      <w:r w:rsidRPr="00DE4A22">
        <w:rPr>
          <w:rFonts w:ascii="Times New Roman" w:eastAsia="Times New Roman" w:hAnsi="Times New Roman" w:cs="B Nazanin"/>
          <w:sz w:val="24"/>
          <w:szCs w:val="24"/>
          <w:rtl/>
        </w:rPr>
        <w:t>و متعلقات</w:t>
      </w:r>
      <w:proofErr w:type="gramEnd"/>
      <w:r w:rsidRPr="00DE4A22">
        <w:rPr>
          <w:rFonts w:ascii="Times New Roman" w:eastAsia="Times New Roman" w:hAnsi="Times New Roman" w:cs="B Nazanin"/>
          <w:sz w:val="24"/>
          <w:szCs w:val="24"/>
          <w:rtl/>
        </w:rPr>
        <w:t xml:space="preserve"> ورقۀ بهادار: منظور سود تقسيمي، اختيار خريد اوراق بهادار (نظير حق تقدم خريد سهام)، سهام جايزه (سودسهمي)، بازپرداخت اصل يا پرداخت ارزش اسمي ورقه بهادار در سررسيد و نظاير آن است كه به مالك ورقۀ بهادار تعلق مي‌گيرد.</w:t>
      </w:r>
      <w:r w:rsidRPr="00DE4A22">
        <w:rPr>
          <w:rFonts w:ascii="Cambria" w:eastAsia="Times New Roman" w:hAnsi="Cambria" w:cs="Cambria" w:hint="cs"/>
          <w:sz w:val="24"/>
          <w:szCs w:val="24"/>
          <w:rtl/>
        </w:rPr>
        <w:t> </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14</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تضامين مشتري: منظور اوراق بهادارموضوع مادۀ 6 اين دستورالعمل </w:t>
      </w:r>
      <w:proofErr w:type="gramStart"/>
      <w:r w:rsidRPr="00DE4A22">
        <w:rPr>
          <w:rFonts w:ascii="Times New Roman" w:eastAsia="Times New Roman" w:hAnsi="Times New Roman" w:cs="B Nazanin"/>
          <w:sz w:val="24"/>
          <w:szCs w:val="24"/>
          <w:rtl/>
        </w:rPr>
        <w:t>و منافع</w:t>
      </w:r>
      <w:proofErr w:type="gramEnd"/>
      <w:r w:rsidRPr="00DE4A22">
        <w:rPr>
          <w:rFonts w:ascii="Times New Roman" w:eastAsia="Times New Roman" w:hAnsi="Times New Roman" w:cs="B Nazanin"/>
          <w:sz w:val="24"/>
          <w:szCs w:val="24"/>
          <w:rtl/>
        </w:rPr>
        <w:t xml:space="preserve"> و متعلقات اين اوراق بهادار است.</w:t>
      </w:r>
      <w:r w:rsidRPr="00DE4A22">
        <w:rPr>
          <w:rFonts w:ascii="Cambria" w:eastAsia="Times New Roman" w:hAnsi="Cambria" w:cs="Cambria" w:hint="cs"/>
          <w:sz w:val="24"/>
          <w:szCs w:val="24"/>
          <w:rtl/>
        </w:rPr>
        <w:t> </w:t>
      </w:r>
    </w:p>
    <w:p w:rsidR="00DE4A22" w:rsidRPr="00DE4A22" w:rsidRDefault="00DE4A22" w:rsidP="00DE4A22">
      <w:pPr>
        <w:numPr>
          <w:ilvl w:val="1"/>
          <w:numId w:val="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15</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مشتري: شخص حقيقي يا حقوقي است كه خدمات كارگزاري از كارگزار دريافت مي‌كند؛</w:t>
      </w:r>
    </w:p>
    <w:p w:rsidR="00DE4A22" w:rsidRPr="00DE4A22" w:rsidRDefault="00DE4A22" w:rsidP="00DE4A22">
      <w:pPr>
        <w:numPr>
          <w:ilvl w:val="0"/>
          <w:numId w:val="2"/>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تخصيص اعتبار توسط كارگزار به مشتري به منظور خريد اعتباري صرفاً براساس ترتيبات اين دستورالعمل </w:t>
      </w:r>
      <w:proofErr w:type="gramStart"/>
      <w:r w:rsidRPr="00DE4A22">
        <w:rPr>
          <w:rFonts w:ascii="Times New Roman" w:eastAsia="Times New Roman" w:hAnsi="Times New Roman" w:cs="B Nazanin"/>
          <w:sz w:val="24"/>
          <w:szCs w:val="24"/>
          <w:rtl/>
        </w:rPr>
        <w:t>و منوط</w:t>
      </w:r>
      <w:proofErr w:type="gramEnd"/>
      <w:r w:rsidRPr="00DE4A22">
        <w:rPr>
          <w:rFonts w:ascii="Times New Roman" w:eastAsia="Times New Roman" w:hAnsi="Times New Roman" w:cs="B Nazanin"/>
          <w:sz w:val="24"/>
          <w:szCs w:val="24"/>
          <w:rtl/>
        </w:rPr>
        <w:t xml:space="preserve"> به انعقاد قرارداد خريد اعتباري (مطابق نمونه پيوست 1 اين دستورالعمل)، بين مشتري و كارگزار است. كارگزار اعتباردهنده موظف است قبل از اجرايي كردن قرارداد خريد اعتباري، اطلاعات اين قرارداد را طبق فرمت موردنظر سازمان به سازمان </w:t>
      </w:r>
      <w:proofErr w:type="gramStart"/>
      <w:r w:rsidRPr="00DE4A22">
        <w:rPr>
          <w:rFonts w:ascii="Times New Roman" w:eastAsia="Times New Roman" w:hAnsi="Times New Roman" w:cs="B Nazanin"/>
          <w:sz w:val="24"/>
          <w:szCs w:val="24"/>
          <w:rtl/>
        </w:rPr>
        <w:t>و ساير</w:t>
      </w:r>
      <w:proofErr w:type="gramEnd"/>
      <w:r w:rsidRPr="00DE4A22">
        <w:rPr>
          <w:rFonts w:ascii="Times New Roman" w:eastAsia="Times New Roman" w:hAnsi="Times New Roman" w:cs="B Nazanin"/>
          <w:sz w:val="24"/>
          <w:szCs w:val="24"/>
          <w:rtl/>
        </w:rPr>
        <w:t xml:space="preserve"> مراجع مورد نظر ارائه دهد.</w:t>
      </w:r>
      <w:r w:rsidRPr="00DE4A22">
        <w:rPr>
          <w:rFonts w:ascii="Cambria" w:eastAsia="Times New Roman" w:hAnsi="Cambria" w:cs="Cambria" w:hint="cs"/>
          <w:sz w:val="24"/>
          <w:szCs w:val="24"/>
          <w:rtl/>
        </w:rPr>
        <w:t> </w:t>
      </w:r>
    </w:p>
    <w:p w:rsidR="00DE4A22" w:rsidRPr="00DE4A22" w:rsidRDefault="00DE4A22" w:rsidP="00DE4A22">
      <w:pPr>
        <w:numPr>
          <w:ilvl w:val="0"/>
          <w:numId w:val="3"/>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3</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تخصيص اعتبار به مشتري توسط كارگزار اعتباردهنده، صرفاً به منظور خريد اعتباري اوراق بهادار قابل معامله در بورس اوراق بهادار تهران يا فرابورس </w:t>
      </w:r>
      <w:proofErr w:type="gramStart"/>
      <w:r w:rsidRPr="00DE4A22">
        <w:rPr>
          <w:rFonts w:ascii="Times New Roman" w:eastAsia="Times New Roman" w:hAnsi="Times New Roman" w:cs="B Nazanin"/>
          <w:sz w:val="24"/>
          <w:szCs w:val="24"/>
          <w:rtl/>
        </w:rPr>
        <w:t>ايران</w:t>
      </w:r>
      <w:proofErr w:type="gramEnd"/>
      <w:r w:rsidRPr="00DE4A22">
        <w:rPr>
          <w:rFonts w:ascii="Times New Roman" w:eastAsia="Times New Roman" w:hAnsi="Times New Roman" w:cs="B Nazanin"/>
          <w:sz w:val="24"/>
          <w:szCs w:val="24"/>
          <w:rtl/>
        </w:rPr>
        <w:t xml:space="preserve"> است و كارگزار نمي‌تواند بابت موضوع ديگري به مشتري اعتبار تخصيص دهد.</w:t>
      </w:r>
    </w:p>
    <w:p w:rsidR="00DE4A22" w:rsidRPr="00DE4A22" w:rsidRDefault="00DE4A22" w:rsidP="00DE4A22">
      <w:pPr>
        <w:numPr>
          <w:ilvl w:val="0"/>
          <w:numId w:val="4"/>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4</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سقف اعتبار تخصيصي به هر مشتري براي خريد اعتباري حداكثر معادل مانده حساب تضمين مشتري است </w:t>
      </w:r>
      <w:proofErr w:type="gramStart"/>
      <w:r w:rsidRPr="00DE4A22">
        <w:rPr>
          <w:rFonts w:ascii="Times New Roman" w:eastAsia="Times New Roman" w:hAnsi="Times New Roman" w:cs="B Nazanin"/>
          <w:sz w:val="24"/>
          <w:szCs w:val="24"/>
          <w:rtl/>
        </w:rPr>
        <w:t>و طبق</w:t>
      </w:r>
      <w:proofErr w:type="gramEnd"/>
      <w:r w:rsidRPr="00DE4A22">
        <w:rPr>
          <w:rFonts w:ascii="Times New Roman" w:eastAsia="Times New Roman" w:hAnsi="Times New Roman" w:cs="B Nazanin"/>
          <w:sz w:val="24"/>
          <w:szCs w:val="24"/>
          <w:rtl/>
        </w:rPr>
        <w:t xml:space="preserve"> مصوبات سازمان تعيين مي شود.</w:t>
      </w:r>
    </w:p>
    <w:p w:rsidR="00DE4A22" w:rsidRPr="00DE4A22" w:rsidRDefault="00DE4A22" w:rsidP="00DE4A22">
      <w:pPr>
        <w:numPr>
          <w:ilvl w:val="1"/>
          <w:numId w:val="4"/>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تبصره</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مبناي تشخيص مبلغ حقوق صاحبان سهام شركت كارگزاري، آخرين صورت‌هاي مالي سالانه حسابرسي شده </w:t>
      </w:r>
      <w:proofErr w:type="gramStart"/>
      <w:r w:rsidRPr="00DE4A22">
        <w:rPr>
          <w:rFonts w:ascii="Times New Roman" w:eastAsia="Times New Roman" w:hAnsi="Times New Roman" w:cs="B Nazanin"/>
          <w:sz w:val="24"/>
          <w:szCs w:val="24"/>
          <w:rtl/>
        </w:rPr>
        <w:t>مي‌باشد.در</w:t>
      </w:r>
      <w:proofErr w:type="gramEnd"/>
      <w:r w:rsidRPr="00DE4A22">
        <w:rPr>
          <w:rFonts w:ascii="Times New Roman" w:eastAsia="Times New Roman" w:hAnsi="Times New Roman" w:cs="B Nazanin"/>
          <w:sz w:val="24"/>
          <w:szCs w:val="24"/>
          <w:rtl/>
        </w:rPr>
        <w:t xml:space="preserve"> صورتي‌كه مبلغ حقوق صاحبان سهام در هر زمان با اعلام و تاييد هيئت مديره شركت كارگزاري، حداقل به ميزان 30 درصد نسبت به مبلغ </w:t>
      </w:r>
      <w:r w:rsidRPr="00DE4A22">
        <w:rPr>
          <w:rFonts w:ascii="Times New Roman" w:eastAsia="Times New Roman" w:hAnsi="Times New Roman" w:cs="B Nazanin"/>
          <w:sz w:val="24"/>
          <w:szCs w:val="24"/>
          <w:rtl/>
        </w:rPr>
        <w:lastRenderedPageBreak/>
        <w:t>مندرج در آخرين صورت‌هاي مالي سالانه حسابرسي شده افزايش داشته باشد، حقوق صاحبان سهام جديد شركت كارگزاري به عنوان مبناي تخصيص اعتبار به مشتريان قرار مي‌گيرد.</w:t>
      </w:r>
      <w:r w:rsidRPr="00DE4A22">
        <w:rPr>
          <w:rFonts w:ascii="Cambria" w:eastAsia="Times New Roman" w:hAnsi="Cambria" w:cs="Cambria" w:hint="cs"/>
          <w:sz w:val="24"/>
          <w:szCs w:val="24"/>
          <w:rtl/>
        </w:rPr>
        <w:t> </w:t>
      </w:r>
    </w:p>
    <w:p w:rsidR="00DE4A22" w:rsidRPr="00DE4A22" w:rsidRDefault="00DE4A22" w:rsidP="00DE4A22">
      <w:pPr>
        <w:numPr>
          <w:ilvl w:val="0"/>
          <w:numId w:val="5"/>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5</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كارگزاري كه اقدام به خريد اعتباري براي مشتري خود مي‌نمايد، بايد قبل از تخصيص اعتبار </w:t>
      </w:r>
      <w:proofErr w:type="gramStart"/>
      <w:r w:rsidRPr="00DE4A22">
        <w:rPr>
          <w:rFonts w:ascii="Times New Roman" w:eastAsia="Times New Roman" w:hAnsi="Times New Roman" w:cs="B Nazanin"/>
          <w:sz w:val="24"/>
          <w:szCs w:val="24"/>
          <w:rtl/>
        </w:rPr>
        <w:t>و خريد</w:t>
      </w:r>
      <w:proofErr w:type="gramEnd"/>
      <w:r w:rsidRPr="00DE4A22">
        <w:rPr>
          <w:rFonts w:ascii="Times New Roman" w:eastAsia="Times New Roman" w:hAnsi="Times New Roman" w:cs="B Nazanin"/>
          <w:sz w:val="24"/>
          <w:szCs w:val="24"/>
          <w:rtl/>
        </w:rPr>
        <w:t xml:space="preserve"> اعتباري براي مشتري رعايت نصاب‌هاي مصوب سازمان در خصوص مجموع اعتبارات اعطايي از جمله نسبت هاي موضوع دستورالعمل كفايت سرمايه نهادهاي مالي را كنترل نموده و در صورتي‌كه با اعطاي اعتبار موردنظر، اين نصاب‌ها نقض مي‌شوند؛ از تخصيص اعتبار خودداري كند. همچنين مادامي كه بدهي تجاري مشتري تسويه نهايي نشده‌است، كارگزار اعتباردهنده موظف است نسبت‌هاي موضوع دستورالعمل كفايت سرمايۀ نهادهاي مالي مصوب هيأت مديرۀ سازمان را در پايان هر روز محاسبه </w:t>
      </w:r>
      <w:proofErr w:type="gramStart"/>
      <w:r w:rsidRPr="00DE4A22">
        <w:rPr>
          <w:rFonts w:ascii="Times New Roman" w:eastAsia="Times New Roman" w:hAnsi="Times New Roman" w:cs="B Nazanin"/>
          <w:sz w:val="24"/>
          <w:szCs w:val="24"/>
          <w:rtl/>
        </w:rPr>
        <w:t>و از</w:t>
      </w:r>
      <w:proofErr w:type="gramEnd"/>
      <w:r w:rsidRPr="00DE4A22">
        <w:rPr>
          <w:rFonts w:ascii="Times New Roman" w:eastAsia="Times New Roman" w:hAnsi="Times New Roman" w:cs="B Nazanin"/>
          <w:sz w:val="24"/>
          <w:szCs w:val="24"/>
          <w:rtl/>
        </w:rPr>
        <w:t xml:space="preserve"> عدم نقض نصاب‌هاي مندرج در اين دستورالعمل اطمينان حاصل نمايد و در صورت نقض نصاب‌ها، اقدامات لازم را طبق همان دستورالعمل اجرا كند.</w:t>
      </w:r>
    </w:p>
    <w:p w:rsidR="00DE4A22" w:rsidRPr="00DE4A22" w:rsidRDefault="00DE4A22" w:rsidP="00DE4A22">
      <w:pPr>
        <w:numPr>
          <w:ilvl w:val="0"/>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6</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سهام </w:t>
      </w:r>
      <w:proofErr w:type="gramStart"/>
      <w:r w:rsidRPr="00DE4A22">
        <w:rPr>
          <w:rFonts w:ascii="Times New Roman" w:eastAsia="Times New Roman" w:hAnsi="Times New Roman" w:cs="B Nazanin"/>
          <w:sz w:val="24"/>
          <w:szCs w:val="24"/>
          <w:rtl/>
        </w:rPr>
        <w:t>و حق</w:t>
      </w:r>
      <w:proofErr w:type="gramEnd"/>
      <w:r w:rsidRPr="00DE4A22">
        <w:rPr>
          <w:rFonts w:ascii="Times New Roman" w:eastAsia="Times New Roman" w:hAnsi="Times New Roman" w:cs="B Nazanin"/>
          <w:sz w:val="24"/>
          <w:szCs w:val="24"/>
          <w:rtl/>
        </w:rPr>
        <w:t xml:space="preserve"> تقدم سهام و ساير اوراق بهادار پذيرفته شده در بورس اوراق بهادار تهران، بازار اول، بازار دوم يا بازار ابزارهاي نوين مالي فرابورس ايران با شرايط زير به عنوان تضامين بدهي تجاري مشتري به كارگزار اعتباردهنده محسوب و در نتيجه اختيار تغيير كارگزار ناظر اين اوراق بهادار از مشتري سلب مي‌گردد.</w:t>
      </w:r>
    </w:p>
    <w:p w:rsidR="00DE4A22" w:rsidRPr="00DE4A22" w:rsidRDefault="00DE4A22" w:rsidP="00DE4A22">
      <w:pPr>
        <w:numPr>
          <w:ilvl w:val="1"/>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اوراق بهادار در تملك مشتري باشد </w:t>
      </w:r>
      <w:proofErr w:type="gramStart"/>
      <w:r w:rsidRPr="00DE4A22">
        <w:rPr>
          <w:rFonts w:ascii="Times New Roman" w:eastAsia="Times New Roman" w:hAnsi="Times New Roman" w:cs="B Nazanin"/>
          <w:sz w:val="24"/>
          <w:szCs w:val="24"/>
          <w:rtl/>
        </w:rPr>
        <w:t>و اعمال</w:t>
      </w:r>
      <w:proofErr w:type="gramEnd"/>
      <w:r w:rsidRPr="00DE4A22">
        <w:rPr>
          <w:rFonts w:ascii="Times New Roman" w:eastAsia="Times New Roman" w:hAnsi="Times New Roman" w:cs="B Nazanin"/>
          <w:sz w:val="24"/>
          <w:szCs w:val="24"/>
          <w:rtl/>
        </w:rPr>
        <w:t xml:space="preserve"> حقوق مالكانه مشتري به عللي از جمله وثيقه شدن، مسدود شدن يا ممنوع‌المعامله شدن، محدود نشده باشد. </w:t>
      </w:r>
      <w:r w:rsidRPr="00DE4A22">
        <w:rPr>
          <w:rFonts w:ascii="Cambria" w:eastAsia="Times New Roman" w:hAnsi="Cambria" w:cs="Cambria" w:hint="cs"/>
          <w:sz w:val="24"/>
          <w:szCs w:val="24"/>
          <w:rtl/>
        </w:rPr>
        <w:t> </w:t>
      </w:r>
    </w:p>
    <w:p w:rsidR="00DE4A22" w:rsidRPr="00DE4A22" w:rsidRDefault="00DE4A22" w:rsidP="00DE4A22">
      <w:pPr>
        <w:numPr>
          <w:ilvl w:val="1"/>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سررسيد اوراق بهاداري كه داراي سر رسيد معين است، بايد حداقل يك ماه پس از سررسيد تسويه بدهي تجاري مشتري باشد.</w:t>
      </w:r>
      <w:r w:rsidRPr="00DE4A22">
        <w:rPr>
          <w:rFonts w:ascii="Cambria" w:eastAsia="Times New Roman" w:hAnsi="Cambria" w:cs="Cambria" w:hint="cs"/>
          <w:sz w:val="24"/>
          <w:szCs w:val="24"/>
          <w:rtl/>
        </w:rPr>
        <w:t> </w:t>
      </w:r>
    </w:p>
    <w:p w:rsidR="00DE4A22" w:rsidRPr="00DE4A22" w:rsidRDefault="00DE4A22" w:rsidP="00DE4A22">
      <w:pPr>
        <w:numPr>
          <w:ilvl w:val="1"/>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3</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كارگزار ناظر اوراق بهادار بايد در هنگام ثبت آن در حساب تضمين، كارگزار اعتباردهنده باشد.</w:t>
      </w:r>
      <w:r w:rsidRPr="00DE4A22">
        <w:rPr>
          <w:rFonts w:ascii="Cambria" w:eastAsia="Times New Roman" w:hAnsi="Cambria" w:cs="Cambria" w:hint="cs"/>
          <w:sz w:val="24"/>
          <w:szCs w:val="24"/>
          <w:rtl/>
        </w:rPr>
        <w:t> </w:t>
      </w:r>
    </w:p>
    <w:p w:rsidR="00DE4A22" w:rsidRPr="00DE4A22" w:rsidRDefault="00DE4A22" w:rsidP="00DE4A22">
      <w:pPr>
        <w:numPr>
          <w:ilvl w:val="1"/>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حق تقدم خريد سهامي كه به عنوان تضمين موضوع اين دستورالعمل محسوب مي‌گردد </w:t>
      </w:r>
      <w:proofErr w:type="gramStart"/>
      <w:r w:rsidRPr="00DE4A22">
        <w:rPr>
          <w:rFonts w:ascii="Times New Roman" w:eastAsia="Times New Roman" w:hAnsi="Times New Roman" w:cs="B Nazanin"/>
          <w:sz w:val="24"/>
          <w:szCs w:val="24"/>
          <w:rtl/>
        </w:rPr>
        <w:t>و همچنين</w:t>
      </w:r>
      <w:proofErr w:type="gramEnd"/>
      <w:r w:rsidRPr="00DE4A22">
        <w:rPr>
          <w:rFonts w:ascii="Times New Roman" w:eastAsia="Times New Roman" w:hAnsi="Times New Roman" w:cs="B Nazanin"/>
          <w:sz w:val="24"/>
          <w:szCs w:val="24"/>
          <w:rtl/>
        </w:rPr>
        <w:t xml:space="preserve"> سهام جديدي كه از اعمال اين حق تقدم تحصيل مي‌گردد، خود به خود به عنوان تضمين بدهي تجاري مشتري محسوب شده و در نتيجه، اختيار مشتري در مورد تغيير كارگزار ناظر آن اوراق بهادار، سلب مي‌گردد. در صورتي‌كه يك روز كاري قبل از پايان مهلت اعمال حق تقدم، مشتري نسبت به تأديه مبلغ پذيره‌نويسي سهام جديد به منظور اعمال آن اقدام نكند، كارگزار اعتباردهنده مي‌تواند مبلغ پذيره‌نويسي را رأساً پرداخت </w:t>
      </w:r>
      <w:proofErr w:type="gramStart"/>
      <w:r w:rsidRPr="00DE4A22">
        <w:rPr>
          <w:rFonts w:ascii="Times New Roman" w:eastAsia="Times New Roman" w:hAnsi="Times New Roman" w:cs="B Nazanin"/>
          <w:sz w:val="24"/>
          <w:szCs w:val="24"/>
          <w:rtl/>
        </w:rPr>
        <w:t xml:space="preserve">و </w:t>
      </w:r>
      <w:r w:rsidRPr="00DE4A22">
        <w:rPr>
          <w:rFonts w:ascii="Times New Roman" w:eastAsia="Times New Roman" w:hAnsi="Times New Roman" w:cs="B Nazanin"/>
          <w:sz w:val="24"/>
          <w:szCs w:val="24"/>
          <w:rtl/>
        </w:rPr>
        <w:lastRenderedPageBreak/>
        <w:t>اقدامات</w:t>
      </w:r>
      <w:proofErr w:type="gramEnd"/>
      <w:r w:rsidRPr="00DE4A22">
        <w:rPr>
          <w:rFonts w:ascii="Times New Roman" w:eastAsia="Times New Roman" w:hAnsi="Times New Roman" w:cs="B Nazanin"/>
          <w:sz w:val="24"/>
          <w:szCs w:val="24"/>
          <w:rtl/>
        </w:rPr>
        <w:t xml:space="preserve"> لازم را براي صدور سهام جديد به نام مشتري انجام دهد، مگر اينكه قيمت پاياني يا آخرين قيمت سهم كمتر از قيمت پذيره‌نويسي سهام جديد باشد. مبلغ پرداختي از اين بابت به حساب بدهي تجاري مشتري منظور مي‌گردد.</w:t>
      </w:r>
      <w:r w:rsidRPr="00DE4A22">
        <w:rPr>
          <w:rFonts w:ascii="Cambria" w:eastAsia="Times New Roman" w:hAnsi="Cambria" w:cs="Cambria" w:hint="cs"/>
          <w:sz w:val="24"/>
          <w:szCs w:val="24"/>
          <w:rtl/>
        </w:rPr>
        <w:t> </w:t>
      </w:r>
    </w:p>
    <w:p w:rsidR="00DE4A22" w:rsidRPr="00DE4A22" w:rsidRDefault="00DE4A22" w:rsidP="00DE4A22">
      <w:pPr>
        <w:numPr>
          <w:ilvl w:val="1"/>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كارگزار مي‌تواند علاوه بر تضامين موضوع اين ماده، تضامين ديگري بابت خريد اعتباري از مشتري دريافت كند، لكن ارزش آن تضامين قابل ثبت در حساب تضمين مشتري نخواهد بود. اين تضامين بايد در ساير حساب‌هاي انتظامي ثبت شوند.</w:t>
      </w:r>
      <w:r w:rsidRPr="00DE4A22">
        <w:rPr>
          <w:rFonts w:ascii="Cambria" w:eastAsia="Times New Roman" w:hAnsi="Cambria" w:cs="Cambria" w:hint="cs"/>
          <w:sz w:val="24"/>
          <w:szCs w:val="24"/>
          <w:rtl/>
        </w:rPr>
        <w:t> </w:t>
      </w:r>
    </w:p>
    <w:p w:rsidR="00DE4A22" w:rsidRPr="00DE4A22" w:rsidRDefault="00DE4A22" w:rsidP="00DE4A22">
      <w:pPr>
        <w:numPr>
          <w:ilvl w:val="1"/>
          <w:numId w:val="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3</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كارگزار اعتباردهنده موظف است در صورت درخواست مشتري مبني بر فروش اوراق بهاداري كه طبق اين ماده به عنوان تضمين بدهي تجاري وي محسوب مي‌گردد، درخواست مزبور را اجرا نمايد. در اين صورت مبلغ حاصل از فروش ابتدا از بدهي تجاري مشتري كسر مي‌گردد؛ مگر اينكه حساب تضمين مشتري، پوشش دهنده بدهي تجاري وي باشد كه در اين صورت قابل پرداخت به مشتري خواهد بود. </w:t>
      </w:r>
      <w:r w:rsidRPr="00DE4A22">
        <w:rPr>
          <w:rFonts w:ascii="Cambria" w:eastAsia="Times New Roman" w:hAnsi="Cambria" w:cs="Cambria" w:hint="cs"/>
          <w:sz w:val="24"/>
          <w:szCs w:val="24"/>
          <w:rtl/>
        </w:rPr>
        <w:t> </w:t>
      </w:r>
    </w:p>
    <w:p w:rsidR="00DE4A22" w:rsidRPr="00DE4A22" w:rsidRDefault="00DE4A22" w:rsidP="00DE4A22">
      <w:pPr>
        <w:numPr>
          <w:ilvl w:val="0"/>
          <w:numId w:val="7"/>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7</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كارگزار اعتباردهنده موظف است براي هر مشتري حساب تضمين جداگانه‌اي در دفاتر خود افتتاح كرده </w:t>
      </w:r>
      <w:proofErr w:type="gramStart"/>
      <w:r w:rsidRPr="00DE4A22">
        <w:rPr>
          <w:rFonts w:ascii="Times New Roman" w:eastAsia="Times New Roman" w:hAnsi="Times New Roman" w:cs="B Nazanin"/>
          <w:sz w:val="24"/>
          <w:szCs w:val="24"/>
          <w:rtl/>
        </w:rPr>
        <w:t>و ارزش</w:t>
      </w:r>
      <w:proofErr w:type="gramEnd"/>
      <w:r w:rsidRPr="00DE4A22">
        <w:rPr>
          <w:rFonts w:ascii="Times New Roman" w:eastAsia="Times New Roman" w:hAnsi="Times New Roman" w:cs="B Nazanin"/>
          <w:sz w:val="24"/>
          <w:szCs w:val="24"/>
          <w:rtl/>
        </w:rPr>
        <w:t xml:space="preserve"> اوراق بهادار مشتري كه خصوصيات مندرج در مادۀ 6 اين دستورالعمل را دارند، با اعمال ضرايب زير تعديل و در اين حساب ثبت نمايد:</w:t>
      </w:r>
      <w:r w:rsidRPr="00DE4A22">
        <w:rPr>
          <w:rFonts w:ascii="Cambria" w:eastAsia="Times New Roman" w:hAnsi="Cambria" w:cs="Cambria" w:hint="cs"/>
          <w:sz w:val="24"/>
          <w:szCs w:val="24"/>
          <w:rtl/>
        </w:rPr>
        <w:t>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proofErr w:type="gramStart"/>
      <w:r w:rsidRPr="00DE4A22">
        <w:rPr>
          <w:rFonts w:ascii="Times New Roman" w:eastAsia="Times New Roman" w:hAnsi="Times New Roman" w:cs="B Nazanin"/>
          <w:sz w:val="24"/>
          <w:szCs w:val="24"/>
          <w:rtl/>
        </w:rPr>
        <w:t>الف</w:t>
      </w:r>
      <w:proofErr w:type="gramEnd"/>
      <w:r w:rsidRPr="00DE4A22">
        <w:rPr>
          <w:rFonts w:ascii="Times New Roman" w:eastAsia="Times New Roman" w:hAnsi="Times New Roman" w:cs="B Nazanin"/>
          <w:sz w:val="24"/>
          <w:szCs w:val="24"/>
          <w:rtl/>
        </w:rPr>
        <w:t xml:space="preserve"> - در مورد سهام پذيرفته شده در بورس اوراق بهادار تهران و بازار اول و دوم فرابورس ايران، 50 درصد قيمت پاياني</w:t>
      </w:r>
      <w:r w:rsidRPr="00DE4A22">
        <w:rPr>
          <w:rFonts w:ascii="Times New Roman" w:eastAsia="Times New Roman" w:hAnsi="Times New Roman" w:cs="B Nazanin"/>
          <w:sz w:val="24"/>
          <w:szCs w:val="24"/>
        </w:rPr>
        <w:t>.</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ب - در مورد حق تقدم خريد سهام موضوع بند </w:t>
      </w:r>
      <w:proofErr w:type="gramStart"/>
      <w:r w:rsidRPr="00DE4A22">
        <w:rPr>
          <w:rFonts w:ascii="Times New Roman" w:eastAsia="Times New Roman" w:hAnsi="Times New Roman" w:cs="B Nazanin"/>
          <w:sz w:val="24"/>
          <w:szCs w:val="24"/>
          <w:rtl/>
        </w:rPr>
        <w:t>الف</w:t>
      </w:r>
      <w:proofErr w:type="gramEnd"/>
      <w:r w:rsidRPr="00DE4A22">
        <w:rPr>
          <w:rFonts w:ascii="Times New Roman" w:eastAsia="Times New Roman" w:hAnsi="Times New Roman" w:cs="B Nazanin"/>
          <w:sz w:val="24"/>
          <w:szCs w:val="24"/>
          <w:rtl/>
        </w:rPr>
        <w:t xml:space="preserve"> اين ماده، 40 درصد قيمت پاياني</w:t>
      </w:r>
      <w:r w:rsidRPr="00DE4A22">
        <w:rPr>
          <w:rFonts w:ascii="Times New Roman" w:eastAsia="Times New Roman" w:hAnsi="Times New Roman" w:cs="B Nazanin"/>
          <w:sz w:val="24"/>
          <w:szCs w:val="24"/>
        </w:rPr>
        <w:t>.</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ج - در مورد اوراق مشاركت، صكوك </w:t>
      </w:r>
      <w:proofErr w:type="gramStart"/>
      <w:r w:rsidRPr="00DE4A22">
        <w:rPr>
          <w:rFonts w:ascii="Times New Roman" w:eastAsia="Times New Roman" w:hAnsi="Times New Roman" w:cs="B Nazanin"/>
          <w:sz w:val="24"/>
          <w:szCs w:val="24"/>
          <w:rtl/>
        </w:rPr>
        <w:t>و انواع</w:t>
      </w:r>
      <w:proofErr w:type="gramEnd"/>
      <w:r w:rsidRPr="00DE4A22">
        <w:rPr>
          <w:rFonts w:ascii="Times New Roman" w:eastAsia="Times New Roman" w:hAnsi="Times New Roman" w:cs="B Nazanin"/>
          <w:sz w:val="24"/>
          <w:szCs w:val="24"/>
          <w:rtl/>
        </w:rPr>
        <w:t xml:space="preserve"> اوراق بدهي 80 درصد قيمت پاياني</w:t>
      </w:r>
      <w:r>
        <w:rPr>
          <w:rFonts w:ascii="Times New Roman" w:eastAsia="Times New Roman" w:hAnsi="Times New Roman" w:cs="B Nazanin" w:hint="cs"/>
          <w:sz w:val="24"/>
          <w:szCs w:val="24"/>
          <w:rtl/>
        </w:rPr>
        <w:t>.</w:t>
      </w:r>
      <w:r w:rsidRPr="00DE4A22">
        <w:rPr>
          <w:rFonts w:ascii="Times New Roman" w:eastAsia="Times New Roman" w:hAnsi="Times New Roman" w:cs="B Nazanin"/>
          <w:sz w:val="24"/>
          <w:szCs w:val="24"/>
        </w:rPr>
        <w:t xml:space="preserve">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د - در مورد واحدهاي سرمايه گذاري صندوق هاي سرمايه گذاري قابل معامله با درآمد ثابت، 65 درصد قيمت پاياني</w:t>
      </w:r>
      <w:r>
        <w:rPr>
          <w:rFonts w:ascii="Times New Roman" w:eastAsia="Times New Roman" w:hAnsi="Times New Roman" w:cs="B Nazanin" w:hint="cs"/>
          <w:sz w:val="24"/>
          <w:szCs w:val="24"/>
          <w:rtl/>
        </w:rPr>
        <w:t>.</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ه - در مورد واحدهاي سرمايه گذاري ساير صندوق هاي سرمايه‌گذاري قابل معامله، 50 درصد قيمت پاياني</w:t>
      </w:r>
      <w:r w:rsidRPr="00DE4A22">
        <w:rPr>
          <w:rFonts w:ascii="Times New Roman" w:eastAsia="Times New Roman" w:hAnsi="Times New Roman" w:cs="B Nazanin"/>
          <w:sz w:val="24"/>
          <w:szCs w:val="24"/>
        </w:rPr>
        <w:t>.</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Pr>
        <w:t> </w:t>
      </w:r>
      <w:r w:rsidRPr="00DE4A22">
        <w:rPr>
          <w:rFonts w:ascii="Times New Roman" w:eastAsia="Times New Roman" w:hAnsi="Times New Roman" w:cs="B Nazanin"/>
          <w:b/>
          <w:bCs/>
          <w:sz w:val="24"/>
          <w:szCs w:val="24"/>
          <w:rtl/>
        </w:rPr>
        <w:t>تبصره</w:t>
      </w:r>
      <w:r w:rsidRPr="00DE4A22">
        <w:rPr>
          <w:rFonts w:ascii="Times New Roman" w:eastAsia="Times New Roman" w:hAnsi="Times New Roman" w:cs="B Nazanin"/>
          <w:b/>
          <w:bCs/>
          <w:sz w:val="24"/>
          <w:szCs w:val="24"/>
        </w:rPr>
        <w:t xml:space="preserve">: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سازمان مي‌تواند برخي از تضامين موضوع اين ماده را از شمول موارد قابل ثبت در حساب تضمين، خارج نموده يا ضرايب تعديل موضوع اين ماده را در خصوص آنها تغيير دهد. در اين صورت كارگزار اعتباردهنده موظف است حساب تضمين مشتري را به روز رساني </w:t>
      </w:r>
      <w:proofErr w:type="gramStart"/>
      <w:r w:rsidRPr="00DE4A22">
        <w:rPr>
          <w:rFonts w:ascii="Times New Roman" w:eastAsia="Times New Roman" w:hAnsi="Times New Roman" w:cs="B Nazanin"/>
          <w:sz w:val="24"/>
          <w:szCs w:val="24"/>
          <w:rtl/>
        </w:rPr>
        <w:t>و در</w:t>
      </w:r>
      <w:proofErr w:type="gramEnd"/>
      <w:r w:rsidRPr="00DE4A22">
        <w:rPr>
          <w:rFonts w:ascii="Times New Roman" w:eastAsia="Times New Roman" w:hAnsi="Times New Roman" w:cs="B Nazanin"/>
          <w:sz w:val="24"/>
          <w:szCs w:val="24"/>
          <w:rtl/>
        </w:rPr>
        <w:t xml:space="preserve"> صورت لزوم، اقدامات لازم را طبق اين دستورالعمل به انجام رساند.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p>
    <w:p w:rsidR="00DE4A22" w:rsidRPr="00DE4A22" w:rsidRDefault="00DE4A22" w:rsidP="00DE4A22">
      <w:pPr>
        <w:numPr>
          <w:ilvl w:val="0"/>
          <w:numId w:val="8"/>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lastRenderedPageBreak/>
        <w:t xml:space="preserve">ماده </w:t>
      </w:r>
      <w:r>
        <w:rPr>
          <w:rFonts w:ascii="Times New Roman" w:eastAsia="Times New Roman" w:hAnsi="Times New Roman" w:cs="B Nazanin" w:hint="cs"/>
          <w:b/>
          <w:bCs/>
          <w:sz w:val="24"/>
          <w:szCs w:val="24"/>
          <w:rtl/>
        </w:rPr>
        <w:t>8</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proofErr w:type="gramStart"/>
      <w:r w:rsidRPr="00DE4A22">
        <w:rPr>
          <w:rFonts w:ascii="Times New Roman" w:eastAsia="Times New Roman" w:hAnsi="Times New Roman" w:cs="B Nazanin"/>
          <w:sz w:val="24"/>
          <w:szCs w:val="24"/>
          <w:rtl/>
        </w:rPr>
        <w:t>جهت</w:t>
      </w:r>
      <w:proofErr w:type="gramEnd"/>
      <w:r w:rsidRPr="00DE4A22">
        <w:rPr>
          <w:rFonts w:ascii="Times New Roman" w:eastAsia="Times New Roman" w:hAnsi="Times New Roman" w:cs="B Nazanin"/>
          <w:sz w:val="24"/>
          <w:szCs w:val="24"/>
          <w:rtl/>
        </w:rPr>
        <w:t xml:space="preserve"> نظارت و كنترل بر معاملات اعتباري، كارگزار موظف است پس از ثبت كليه رويدادهاي مالي روزانه و طي مهلت و به نحوي كه شركت سپرده گذاري مركزي اعلام مي‌كند، ماندۀ بدهي تجاري كليه مشتريان خود را فارغ از اينكه قرارداد خريد اعتباري با آن‌ها منعقد نموده يا منعقد ننموده باشد، به صورت روزانه به شركت يادشده ارائه نمايد. در صورتي‌كه تغيير كارگزار ناظر از كارگزار اعتباردهنده به كارگزار ديگر، باعث شود كه ماندۀ حساب تضمين مشتري كه طبق اين دستورالعمل محاسبه مي‌شود به ميزاني كاهش يابد كه از بدهي تجاري وي به آن كارگزار كمتر شود، آن‌گاه شركت سپرده‌گذاري مركزي، درخواست مشتري براي تغيير كارگزار ناظر آن اوراق بهادار را اجرا نخواهد كرد </w:t>
      </w:r>
      <w:proofErr w:type="gramStart"/>
      <w:r w:rsidRPr="00DE4A22">
        <w:rPr>
          <w:rFonts w:ascii="Times New Roman" w:eastAsia="Times New Roman" w:hAnsi="Times New Roman" w:cs="B Nazanin"/>
          <w:sz w:val="24"/>
          <w:szCs w:val="24"/>
          <w:rtl/>
        </w:rPr>
        <w:t>و مشتري</w:t>
      </w:r>
      <w:proofErr w:type="gramEnd"/>
      <w:r w:rsidRPr="00DE4A22">
        <w:rPr>
          <w:rFonts w:ascii="Times New Roman" w:eastAsia="Times New Roman" w:hAnsi="Times New Roman" w:cs="B Nazanin"/>
          <w:sz w:val="24"/>
          <w:szCs w:val="24"/>
          <w:rtl/>
        </w:rPr>
        <w:t xml:space="preserve"> در صورت تمايل به فروش آن اوراق بهادار، صرفاً مي‌‌تواند سفارش فروش خود را به كارگزار اعتباردهنده ارائه دهد.</w:t>
      </w:r>
      <w:r w:rsidRPr="00DE4A22">
        <w:rPr>
          <w:rFonts w:ascii="Cambria" w:eastAsia="Times New Roman" w:hAnsi="Cambria" w:cs="Cambria" w:hint="cs"/>
          <w:sz w:val="24"/>
          <w:szCs w:val="24"/>
          <w:rtl/>
        </w:rPr>
        <w:t> </w:t>
      </w:r>
    </w:p>
    <w:p w:rsidR="00DE4A22" w:rsidRPr="00DE4A22" w:rsidRDefault="00DE4A22" w:rsidP="00DE4A22">
      <w:pPr>
        <w:numPr>
          <w:ilvl w:val="1"/>
          <w:numId w:val="8"/>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در صورتي‌كه در </w:t>
      </w:r>
      <w:proofErr w:type="gramStart"/>
      <w:r w:rsidRPr="00DE4A22">
        <w:rPr>
          <w:rFonts w:ascii="Times New Roman" w:eastAsia="Times New Roman" w:hAnsi="Times New Roman" w:cs="B Nazanin"/>
          <w:sz w:val="24"/>
          <w:szCs w:val="24"/>
          <w:rtl/>
        </w:rPr>
        <w:t>اثر</w:t>
      </w:r>
      <w:proofErr w:type="gramEnd"/>
      <w:r w:rsidRPr="00DE4A22">
        <w:rPr>
          <w:rFonts w:ascii="Times New Roman" w:eastAsia="Times New Roman" w:hAnsi="Times New Roman" w:cs="B Nazanin"/>
          <w:sz w:val="24"/>
          <w:szCs w:val="24"/>
          <w:rtl/>
        </w:rPr>
        <w:t xml:space="preserve"> اشتباه يا تخلف كارگزاري در اعلام بدهي تجاري مشتري، خسارتي از اجراي اين ماده متوجه مشتري شود، كارگزار مربوطه مسئول جبران خسارت وارده خواهد بود.</w:t>
      </w:r>
      <w:r w:rsidRPr="00DE4A22">
        <w:rPr>
          <w:rFonts w:ascii="Cambria" w:eastAsia="Times New Roman" w:hAnsi="Cambria" w:cs="Cambria" w:hint="cs"/>
          <w:sz w:val="24"/>
          <w:szCs w:val="24"/>
          <w:rtl/>
        </w:rPr>
        <w:t> </w:t>
      </w:r>
    </w:p>
    <w:p w:rsidR="00DE4A22" w:rsidRPr="00DE4A22" w:rsidRDefault="00DE4A22" w:rsidP="00DE4A22">
      <w:pPr>
        <w:numPr>
          <w:ilvl w:val="1"/>
          <w:numId w:val="8"/>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با توجه به محدوديت فني، كارگزار ناظر براي هرنوع ورقه بهادار تحت تملك يك مشتري، صرفاً يك كارگزار خواهد بود </w:t>
      </w:r>
      <w:proofErr w:type="gramStart"/>
      <w:r w:rsidRPr="00DE4A22">
        <w:rPr>
          <w:rFonts w:ascii="Times New Roman" w:eastAsia="Times New Roman" w:hAnsi="Times New Roman" w:cs="B Nazanin"/>
          <w:sz w:val="24"/>
          <w:szCs w:val="24"/>
          <w:rtl/>
        </w:rPr>
        <w:t>و مشتري</w:t>
      </w:r>
      <w:proofErr w:type="gramEnd"/>
      <w:r w:rsidRPr="00DE4A22">
        <w:rPr>
          <w:rFonts w:ascii="Times New Roman" w:eastAsia="Times New Roman" w:hAnsi="Times New Roman" w:cs="B Nazanin"/>
          <w:sz w:val="24"/>
          <w:szCs w:val="24"/>
          <w:rtl/>
        </w:rPr>
        <w:t xml:space="preserve"> نمي‌تواند براي بخشي از كل تعداد يك نوع اوراق بهادار در تملك خود، يك كارگزار و براي بخشي ديگر، كارگزاري ديگري را به عنوان كارگزار ناظر انتخاب كند. همچنين هرگاه تعدادي از يك نوع ورقه بهادار پذيرفته شده به نام مشتري خريداري مي‌شود، كارگزار ناظر آن ورقه بهادار، همان كارگزار خريدار خواهد بود، مگر اينكه مشتري قبلاً تعدادي از همان نوع ورقۀ بهادار را در تملك داشته باشد كه در اين صورت، كارگزار ناظري كه قبلاً براي اوراق بهادار تحت تملك خود انتخاب نموده است، به عنوان كارگزار ناظر اوراق بهاداري كه خريداري كرده است، نيز خواهد بود</w:t>
      </w:r>
      <w:r w:rsidRPr="00DE4A22">
        <w:rPr>
          <w:rFonts w:ascii="Cambria" w:eastAsia="Times New Roman" w:hAnsi="Cambria" w:cs="Cambria" w:hint="cs"/>
          <w:sz w:val="24"/>
          <w:szCs w:val="24"/>
          <w:rtl/>
        </w:rPr>
        <w:t> </w:t>
      </w:r>
    </w:p>
    <w:p w:rsidR="00DE4A22" w:rsidRPr="00DE4A22" w:rsidRDefault="00DE4A22" w:rsidP="00DE4A22">
      <w:pPr>
        <w:numPr>
          <w:ilvl w:val="0"/>
          <w:numId w:val="9"/>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9</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كارگزار اعتباردهنده موظف است در پايان هر روز كاري، عمليات به روز رساني حساب تضمين مشتري را براساس قيمت‌هاي پاياني آن روز انجام دهد.</w:t>
      </w:r>
      <w:r w:rsidRPr="00DE4A22">
        <w:rPr>
          <w:rFonts w:ascii="Cambria" w:eastAsia="Times New Roman" w:hAnsi="Cambria" w:cs="Cambria" w:hint="cs"/>
          <w:sz w:val="24"/>
          <w:szCs w:val="24"/>
          <w:rtl/>
        </w:rPr>
        <w:t> </w:t>
      </w:r>
    </w:p>
    <w:p w:rsidR="00DE4A22" w:rsidRPr="00DE4A22" w:rsidRDefault="00DE4A22" w:rsidP="00DE4A22">
      <w:pPr>
        <w:numPr>
          <w:ilvl w:val="0"/>
          <w:numId w:val="10"/>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10</w:t>
      </w:r>
      <w:r w:rsidRPr="00DE4A22">
        <w:rPr>
          <w:rFonts w:ascii="Times New Roman" w:eastAsia="Times New Roman" w:hAnsi="Times New Roman" w:cs="B Nazanin"/>
          <w:b/>
          <w:bCs/>
          <w:sz w:val="24"/>
          <w:szCs w:val="24"/>
        </w:rPr>
        <w:t xml:space="preserve">: </w:t>
      </w:r>
    </w:p>
    <w:p w:rsidR="00DE4A22" w:rsidRDefault="00DE4A22" w:rsidP="00DE4A22">
      <w:pPr>
        <w:bidi/>
        <w:spacing w:before="100" w:beforeAutospacing="1" w:after="100" w:afterAutospacing="1" w:line="240" w:lineRule="auto"/>
        <w:ind w:left="-180"/>
        <w:jc w:val="lowKashida"/>
        <w:rPr>
          <w:rFonts w:ascii="Cambria" w:eastAsia="Times New Roman" w:hAnsi="Cambria" w:cs="Cambria"/>
          <w:sz w:val="24"/>
          <w:szCs w:val="24"/>
          <w:rtl/>
        </w:rPr>
      </w:pPr>
      <w:r w:rsidRPr="00DE4A22">
        <w:rPr>
          <w:rFonts w:ascii="Times New Roman" w:eastAsia="Times New Roman" w:hAnsi="Times New Roman" w:cs="B Nazanin"/>
          <w:sz w:val="24"/>
          <w:szCs w:val="24"/>
          <w:rtl/>
        </w:rPr>
        <w:t xml:space="preserve">هرگاه در </w:t>
      </w:r>
      <w:proofErr w:type="gramStart"/>
      <w:r w:rsidRPr="00DE4A22">
        <w:rPr>
          <w:rFonts w:ascii="Times New Roman" w:eastAsia="Times New Roman" w:hAnsi="Times New Roman" w:cs="B Nazanin"/>
          <w:sz w:val="24"/>
          <w:szCs w:val="24"/>
          <w:rtl/>
        </w:rPr>
        <w:t>اثر</w:t>
      </w:r>
      <w:proofErr w:type="gramEnd"/>
      <w:r w:rsidRPr="00DE4A22">
        <w:rPr>
          <w:rFonts w:ascii="Times New Roman" w:eastAsia="Times New Roman" w:hAnsi="Times New Roman" w:cs="B Nazanin"/>
          <w:sz w:val="24"/>
          <w:szCs w:val="24"/>
          <w:rtl/>
        </w:rPr>
        <w:t xml:space="preserve"> افزايش بدهي تجاري يا كاهش مانده حساب تضمين، ماندۀ بدهي تجاري مشتري برابر يا بيش از ماندۀ حساب تضمين مشتري گردد، كارگزار اعتباردهنده موظف است، خريد اعتباري براي مشتري را تا زمان رفع اين شرايط متوقف نمايد. همچنين مشخصات مشتري به عنوان مشتري در معرض ريسك </w:t>
      </w:r>
      <w:proofErr w:type="gramStart"/>
      <w:r w:rsidRPr="00DE4A22">
        <w:rPr>
          <w:rFonts w:ascii="Times New Roman" w:eastAsia="Times New Roman" w:hAnsi="Times New Roman" w:cs="B Nazanin"/>
          <w:sz w:val="24"/>
          <w:szCs w:val="24"/>
          <w:rtl/>
        </w:rPr>
        <w:t>و مبلغ</w:t>
      </w:r>
      <w:proofErr w:type="gramEnd"/>
      <w:r w:rsidRPr="00DE4A22">
        <w:rPr>
          <w:rFonts w:ascii="Times New Roman" w:eastAsia="Times New Roman" w:hAnsi="Times New Roman" w:cs="B Nazanin"/>
          <w:sz w:val="24"/>
          <w:szCs w:val="24"/>
          <w:rtl/>
        </w:rPr>
        <w:t xml:space="preserve"> كسري حساب تضمين در اختيار كانون كارگزاران بورس و اوراق بهادار و كليۀ كارگزاران قرار مي‌گيرد و كليۀ كارگزاران موظف‌اند خريد اعتباري را براي مشتري مذكور تا پايان رفع اين شرايط متوقف نمايند.</w:t>
      </w:r>
      <w:r w:rsidRPr="00DE4A22">
        <w:rPr>
          <w:rFonts w:ascii="Cambria" w:eastAsia="Times New Roman" w:hAnsi="Cambria" w:cs="Cambria" w:hint="cs"/>
          <w:sz w:val="24"/>
          <w:szCs w:val="24"/>
          <w:rtl/>
        </w:rPr>
        <w:t>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p>
    <w:p w:rsidR="00DE4A22" w:rsidRPr="00DE4A22" w:rsidRDefault="00DE4A22" w:rsidP="00DE4A22">
      <w:pPr>
        <w:numPr>
          <w:ilvl w:val="0"/>
          <w:numId w:val="1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lastRenderedPageBreak/>
        <w:t xml:space="preserve">ماده </w:t>
      </w:r>
      <w:r>
        <w:rPr>
          <w:rFonts w:ascii="Times New Roman" w:eastAsia="Times New Roman" w:hAnsi="Times New Roman" w:cs="B Nazanin" w:hint="cs"/>
          <w:b/>
          <w:bCs/>
          <w:sz w:val="24"/>
          <w:szCs w:val="24"/>
          <w:rtl/>
        </w:rPr>
        <w:t>11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هرگاه ماندۀ بدهي تجاري مشتري ده درصد بيشتر از ماندۀ حساب تضمين وي شود، كارگزار اعتباردهنده موظف است، حداكثر تا پايان روز كاري بعد، اخطاريۀ كسري حساب تضمين را شامل اطلاعات زير به ترتيبي كه در قرارداد خريد اعتباري تعيين شده است به مشتري اعلام نمايد.</w:t>
      </w:r>
      <w:r w:rsidRPr="00DE4A22">
        <w:rPr>
          <w:rFonts w:ascii="Cambria" w:eastAsia="Times New Roman" w:hAnsi="Cambria" w:cs="Cambria" w:hint="cs"/>
          <w:sz w:val="24"/>
          <w:szCs w:val="24"/>
          <w:rtl/>
        </w:rPr>
        <w:t> </w:t>
      </w:r>
    </w:p>
    <w:p w:rsidR="00DE4A22" w:rsidRPr="00DE4A22" w:rsidRDefault="00DE4A22" w:rsidP="00DE4A22">
      <w:pPr>
        <w:numPr>
          <w:ilvl w:val="1"/>
          <w:numId w:val="1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نام مشتري، نام كارگزار اعتباردهنده </w:t>
      </w:r>
      <w:proofErr w:type="gramStart"/>
      <w:r w:rsidRPr="00DE4A22">
        <w:rPr>
          <w:rFonts w:ascii="Times New Roman" w:eastAsia="Times New Roman" w:hAnsi="Times New Roman" w:cs="B Nazanin"/>
          <w:sz w:val="24"/>
          <w:szCs w:val="24"/>
          <w:rtl/>
        </w:rPr>
        <w:t>و تاريخ</w:t>
      </w:r>
      <w:proofErr w:type="gramEnd"/>
      <w:r w:rsidRPr="00DE4A22">
        <w:rPr>
          <w:rFonts w:ascii="Times New Roman" w:eastAsia="Times New Roman" w:hAnsi="Times New Roman" w:cs="B Nazanin"/>
          <w:sz w:val="24"/>
          <w:szCs w:val="24"/>
          <w:rtl/>
        </w:rPr>
        <w:t xml:space="preserve"> صدور اخطاريه.</w:t>
      </w:r>
      <w:r w:rsidRPr="00DE4A22">
        <w:rPr>
          <w:rFonts w:ascii="Cambria" w:eastAsia="Times New Roman" w:hAnsi="Cambria" w:cs="Cambria" w:hint="cs"/>
          <w:sz w:val="24"/>
          <w:szCs w:val="24"/>
          <w:rtl/>
        </w:rPr>
        <w:t> </w:t>
      </w:r>
    </w:p>
    <w:p w:rsidR="00007E13" w:rsidRDefault="00DE4A22" w:rsidP="00007E13">
      <w:pPr>
        <w:numPr>
          <w:ilvl w:val="1"/>
          <w:numId w:val="11"/>
        </w:num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007E13" w:rsidRPr="00007E13" w:rsidRDefault="00007E13" w:rsidP="00007E13">
      <w:pPr>
        <w:bidi/>
        <w:spacing w:before="100" w:beforeAutospacing="1" w:after="100" w:afterAutospacing="1" w:line="240" w:lineRule="auto"/>
        <w:ind w:left="-180"/>
        <w:jc w:val="lowKashida"/>
        <w:rPr>
          <w:rFonts w:ascii="Times New Roman" w:eastAsia="Times New Roman" w:hAnsi="Times New Roman" w:cs="B Nazanin"/>
          <w:sz w:val="24"/>
          <w:szCs w:val="24"/>
        </w:rPr>
      </w:pPr>
      <w:r w:rsidRPr="00007E13">
        <w:rPr>
          <w:rFonts w:ascii="Times New Roman" w:eastAsia="Times New Roman" w:hAnsi="Times New Roman" w:cs="B Nazanin"/>
          <w:sz w:val="24"/>
          <w:szCs w:val="24"/>
          <w:rtl/>
        </w:rPr>
        <w:t>مانده بده</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sz w:val="24"/>
          <w:szCs w:val="24"/>
          <w:rtl/>
        </w:rPr>
        <w:t xml:space="preserve"> تجار</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sz w:val="24"/>
          <w:szCs w:val="24"/>
          <w:rtl/>
        </w:rPr>
        <w:t xml:space="preserve"> و مانده حساب تضم</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hint="eastAsia"/>
          <w:sz w:val="24"/>
          <w:szCs w:val="24"/>
          <w:rtl/>
        </w:rPr>
        <w:t>ن</w:t>
      </w:r>
      <w:r w:rsidRPr="00007E13">
        <w:rPr>
          <w:rFonts w:ascii="Times New Roman" w:eastAsia="Times New Roman" w:hAnsi="Times New Roman" w:cs="B Nazanin"/>
          <w:sz w:val="24"/>
          <w:szCs w:val="24"/>
          <w:rtl/>
        </w:rPr>
        <w:t xml:space="preserve"> مشتر</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sz w:val="24"/>
          <w:szCs w:val="24"/>
          <w:rtl/>
        </w:rPr>
        <w:t xml:space="preserve"> نزد کارگزار اعتبار دهنده؛</w:t>
      </w:r>
    </w:p>
    <w:p w:rsidR="00DE4A22" w:rsidRPr="00DE4A22" w:rsidRDefault="00DE4A22" w:rsidP="00DE4A22">
      <w:pPr>
        <w:numPr>
          <w:ilvl w:val="1"/>
          <w:numId w:val="11"/>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3</w:t>
      </w:r>
      <w:r w:rsidRPr="00DE4A22">
        <w:rPr>
          <w:rFonts w:ascii="Times New Roman" w:eastAsia="Times New Roman" w:hAnsi="Times New Roman" w:cs="B Nazanin"/>
          <w:b/>
          <w:bCs/>
          <w:sz w:val="24"/>
          <w:szCs w:val="24"/>
        </w:rPr>
        <w:t xml:space="preserve">: </w:t>
      </w:r>
    </w:p>
    <w:p w:rsidR="00DE4A22" w:rsidRPr="00DE4A22" w:rsidRDefault="00007E13"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Pr>
          <w:rFonts w:ascii="Times New Roman" w:eastAsia="Times New Roman" w:hAnsi="Times New Roman" w:cs="B Nazanin" w:hint="cs"/>
          <w:sz w:val="24"/>
          <w:szCs w:val="24"/>
          <w:rtl/>
        </w:rPr>
        <w:t>حذف شد.</w:t>
      </w:r>
    </w:p>
    <w:p w:rsidR="00007E13" w:rsidRDefault="00DE4A22" w:rsidP="00007E13">
      <w:pPr>
        <w:numPr>
          <w:ilvl w:val="1"/>
          <w:numId w:val="11"/>
        </w:num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4</w:t>
      </w:r>
      <w:r w:rsidRPr="00DE4A22">
        <w:rPr>
          <w:rFonts w:ascii="Times New Roman" w:eastAsia="Times New Roman" w:hAnsi="Times New Roman" w:cs="B Nazanin"/>
          <w:b/>
          <w:bCs/>
          <w:sz w:val="24"/>
          <w:szCs w:val="24"/>
        </w:rPr>
        <w:t xml:space="preserve">: </w:t>
      </w:r>
    </w:p>
    <w:p w:rsidR="00007E13" w:rsidRPr="00007E13" w:rsidRDefault="00007E13" w:rsidP="00007E13">
      <w:pPr>
        <w:bidi/>
        <w:spacing w:before="100" w:beforeAutospacing="1" w:after="100" w:afterAutospacing="1" w:line="240" w:lineRule="auto"/>
        <w:ind w:left="-180"/>
        <w:jc w:val="lowKashida"/>
        <w:rPr>
          <w:rFonts w:ascii="Times New Roman" w:eastAsia="Times New Roman" w:hAnsi="Times New Roman" w:cs="B Nazanin"/>
          <w:sz w:val="24"/>
          <w:szCs w:val="24"/>
        </w:rPr>
      </w:pPr>
      <w:r w:rsidRPr="00007E13">
        <w:rPr>
          <w:rFonts w:ascii="Times New Roman" w:eastAsia="Times New Roman" w:hAnsi="Times New Roman" w:cs="B Nazanin"/>
          <w:sz w:val="24"/>
          <w:szCs w:val="24"/>
          <w:rtl/>
        </w:rPr>
        <w:t>مبلغ کسر</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sz w:val="24"/>
          <w:szCs w:val="24"/>
          <w:rtl/>
        </w:rPr>
        <w:t xml:space="preserve"> حساب تضم</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hint="eastAsia"/>
          <w:sz w:val="24"/>
          <w:szCs w:val="24"/>
          <w:rtl/>
        </w:rPr>
        <w:t>ن</w:t>
      </w:r>
      <w:r w:rsidRPr="00007E13">
        <w:rPr>
          <w:rFonts w:ascii="Times New Roman" w:eastAsia="Times New Roman" w:hAnsi="Times New Roman" w:cs="B Nazanin"/>
          <w:sz w:val="24"/>
          <w:szCs w:val="24"/>
          <w:rtl/>
        </w:rPr>
        <w:t xml:space="preserve"> که مشتر</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sz w:val="24"/>
          <w:szCs w:val="24"/>
          <w:rtl/>
        </w:rPr>
        <w:t xml:space="preserve"> با</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hint="eastAsia"/>
          <w:sz w:val="24"/>
          <w:szCs w:val="24"/>
          <w:rtl/>
        </w:rPr>
        <w:t>د</w:t>
      </w:r>
      <w:r w:rsidRPr="00007E13">
        <w:rPr>
          <w:rFonts w:ascii="Times New Roman" w:eastAsia="Times New Roman" w:hAnsi="Times New Roman" w:cs="B Nazanin"/>
          <w:sz w:val="24"/>
          <w:szCs w:val="24"/>
          <w:rtl/>
        </w:rPr>
        <w:t xml:space="preserve"> تسو</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hint="eastAsia"/>
          <w:sz w:val="24"/>
          <w:szCs w:val="24"/>
          <w:rtl/>
        </w:rPr>
        <w:t>ه</w:t>
      </w:r>
      <w:r w:rsidRPr="00007E13">
        <w:rPr>
          <w:rFonts w:ascii="Times New Roman" w:eastAsia="Times New Roman" w:hAnsi="Times New Roman" w:cs="B Nazanin"/>
          <w:sz w:val="24"/>
          <w:szCs w:val="24"/>
          <w:rtl/>
        </w:rPr>
        <w:t xml:space="preserve"> نما</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hint="eastAsia"/>
          <w:sz w:val="24"/>
          <w:szCs w:val="24"/>
          <w:rtl/>
        </w:rPr>
        <w:t>د</w:t>
      </w:r>
      <w:r w:rsidRPr="00007E13">
        <w:rPr>
          <w:rFonts w:ascii="Times New Roman" w:eastAsia="Times New Roman" w:hAnsi="Times New Roman" w:cs="B Nazanin"/>
          <w:sz w:val="24"/>
          <w:szCs w:val="24"/>
          <w:rtl/>
        </w:rPr>
        <w:t xml:space="preserve"> و مهلت تسو</w:t>
      </w:r>
      <w:r w:rsidRPr="00007E13">
        <w:rPr>
          <w:rFonts w:ascii="Times New Roman" w:eastAsia="Times New Roman" w:hAnsi="Times New Roman" w:cs="B Nazanin" w:hint="cs"/>
          <w:sz w:val="24"/>
          <w:szCs w:val="24"/>
          <w:rtl/>
        </w:rPr>
        <w:t>ی</w:t>
      </w:r>
      <w:r w:rsidRPr="00007E13">
        <w:rPr>
          <w:rFonts w:ascii="Times New Roman" w:eastAsia="Times New Roman" w:hAnsi="Times New Roman" w:cs="B Nazanin" w:hint="eastAsia"/>
          <w:sz w:val="24"/>
          <w:szCs w:val="24"/>
          <w:rtl/>
        </w:rPr>
        <w:t>ه</w:t>
      </w:r>
      <w:r w:rsidRPr="00007E13">
        <w:rPr>
          <w:rFonts w:ascii="Times New Roman" w:eastAsia="Times New Roman" w:hAnsi="Times New Roman" w:cs="B Nazanin"/>
          <w:sz w:val="24"/>
          <w:szCs w:val="24"/>
          <w:rtl/>
        </w:rPr>
        <w:t xml:space="preserve"> آن؛</w:t>
      </w:r>
    </w:p>
    <w:p w:rsidR="00DE4A22" w:rsidRPr="00DE4A22" w:rsidRDefault="00DE4A22" w:rsidP="00DE4A22">
      <w:pPr>
        <w:numPr>
          <w:ilvl w:val="0"/>
          <w:numId w:val="12"/>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پس از دريافت اخطارية كسري حساب تضمين، مشتري كه قرارداد خريد اعتباري با كارگزار اعتباردهنده منعقد نموده است، موظف است ظرف سه روز كاري، كسري اعلامي را رفع نمايد به قسمي كه بدهي تجاري وي حداكثر به ميزان ماندۀ حساب تضمين گردد. طرق رفع كسري حساب تضمين به شرح زير است:</w:t>
      </w:r>
      <w:r w:rsidRPr="00DE4A22">
        <w:rPr>
          <w:rFonts w:ascii="Cambria" w:eastAsia="Times New Roman" w:hAnsi="Cambria" w:cs="Cambria" w:hint="cs"/>
          <w:sz w:val="24"/>
          <w:szCs w:val="24"/>
          <w:rtl/>
        </w:rPr>
        <w:t> </w:t>
      </w:r>
    </w:p>
    <w:p w:rsidR="00DE4A22" w:rsidRPr="00DE4A22" w:rsidRDefault="00DE4A22" w:rsidP="00DE4A22">
      <w:pPr>
        <w:numPr>
          <w:ilvl w:val="1"/>
          <w:numId w:val="12"/>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proofErr w:type="gramStart"/>
      <w:r w:rsidRPr="00DE4A22">
        <w:rPr>
          <w:rFonts w:ascii="Times New Roman" w:eastAsia="Times New Roman" w:hAnsi="Times New Roman" w:cs="B Nazanin"/>
          <w:b/>
          <w:bCs/>
          <w:sz w:val="24"/>
          <w:szCs w:val="24"/>
          <w:rtl/>
        </w:rPr>
        <w:t>الف</w:t>
      </w:r>
      <w:proofErr w:type="gramEnd"/>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كاهش مبلغ بدهي از محل واريز وجه نقد توسط مشتري يا فروش اوراق بهادار تحت مالكيت مشتري به واسطۀ كارگزار اعتباردهنده.</w:t>
      </w:r>
    </w:p>
    <w:p w:rsidR="00DE4A22" w:rsidRPr="00DE4A22" w:rsidRDefault="00DE4A22" w:rsidP="00DE4A22">
      <w:pPr>
        <w:numPr>
          <w:ilvl w:val="1"/>
          <w:numId w:val="12"/>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بند ب</w:t>
      </w:r>
      <w:r w:rsidRPr="00DE4A22">
        <w:rPr>
          <w:rFonts w:ascii="Times New Roman" w:eastAsia="Times New Roman" w:hAnsi="Times New Roman" w:cs="B Nazanin"/>
          <w:b/>
          <w:bCs/>
          <w:sz w:val="24"/>
          <w:szCs w:val="24"/>
        </w:rPr>
        <w:t xml:space="preserve">: </w:t>
      </w:r>
    </w:p>
    <w:p w:rsidR="00DE4A22" w:rsidRDefault="00DE4A22" w:rsidP="00DE4A22">
      <w:pPr>
        <w:bidi/>
        <w:spacing w:before="100" w:beforeAutospacing="1" w:after="100" w:afterAutospacing="1" w:line="240" w:lineRule="auto"/>
        <w:ind w:left="-180"/>
        <w:jc w:val="lowKashida"/>
        <w:rPr>
          <w:rFonts w:ascii="Cambria" w:eastAsia="Times New Roman" w:hAnsi="Cambria" w:cs="Cambria"/>
          <w:sz w:val="24"/>
          <w:szCs w:val="24"/>
          <w:rtl/>
        </w:rPr>
      </w:pPr>
      <w:r w:rsidRPr="00DE4A22">
        <w:rPr>
          <w:rFonts w:ascii="Times New Roman" w:eastAsia="Times New Roman" w:hAnsi="Times New Roman" w:cs="B Nazanin"/>
          <w:sz w:val="24"/>
          <w:szCs w:val="24"/>
          <w:rtl/>
        </w:rPr>
        <w:t>افزايش ماندۀ حساب تضمين از طريق انتخاب كارگزار اعتباردهنده به عنوان كارگزار ناظر اوراق بهادار ديگري كه خصوصيات مندرج در مادۀ 6 اين دستورالعمل را داشته باشد.</w:t>
      </w:r>
      <w:r w:rsidRPr="00DE4A22">
        <w:rPr>
          <w:rFonts w:ascii="Cambria" w:eastAsia="Times New Roman" w:hAnsi="Cambria" w:cs="Cambria" w:hint="cs"/>
          <w:sz w:val="24"/>
          <w:szCs w:val="24"/>
          <w:rtl/>
        </w:rPr>
        <w:t> </w:t>
      </w:r>
    </w:p>
    <w:p w:rsidR="00D52874" w:rsidRPr="00DE4A22"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Pr>
      </w:pPr>
    </w:p>
    <w:p w:rsidR="00DE4A22" w:rsidRPr="00DE4A22" w:rsidRDefault="00DE4A22" w:rsidP="00DE4A22">
      <w:pPr>
        <w:numPr>
          <w:ilvl w:val="1"/>
          <w:numId w:val="12"/>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lastRenderedPageBreak/>
        <w:t>تبصره</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پس از ارسال اخطارية كسري حساب تضمين </w:t>
      </w:r>
      <w:proofErr w:type="gramStart"/>
      <w:r w:rsidRPr="00DE4A22">
        <w:rPr>
          <w:rFonts w:ascii="Times New Roman" w:eastAsia="Times New Roman" w:hAnsi="Times New Roman" w:cs="B Nazanin"/>
          <w:sz w:val="24"/>
          <w:szCs w:val="24"/>
          <w:rtl/>
        </w:rPr>
        <w:t>و تا</w:t>
      </w:r>
      <w:proofErr w:type="gramEnd"/>
      <w:r w:rsidRPr="00DE4A22">
        <w:rPr>
          <w:rFonts w:ascii="Times New Roman" w:eastAsia="Times New Roman" w:hAnsi="Times New Roman" w:cs="B Nazanin"/>
          <w:sz w:val="24"/>
          <w:szCs w:val="24"/>
          <w:rtl/>
        </w:rPr>
        <w:t xml:space="preserve"> زماني كه كسري مذكور به طور كامل رفع نشده باشد، كارگزار موظف است در پايان آن روز كاري كه مشتري به يكي از طرق مندرج در اين ماده، تمام يا بخشي از كسري را رفع نموده است، اطلاعات مندرج در اخطاريۀ كسري حساب تضمين را به روز رساني كرده و براي مشتري ارسال كند.</w:t>
      </w:r>
      <w:r w:rsidRPr="00DE4A22">
        <w:rPr>
          <w:rFonts w:ascii="Cambria" w:eastAsia="Times New Roman" w:hAnsi="Cambria" w:cs="Cambria" w:hint="cs"/>
          <w:sz w:val="24"/>
          <w:szCs w:val="24"/>
          <w:rtl/>
        </w:rPr>
        <w:t> </w:t>
      </w:r>
    </w:p>
    <w:p w:rsidR="00DE4A22" w:rsidRPr="00DE4A22" w:rsidRDefault="00DE4A22" w:rsidP="00DE4A22">
      <w:pPr>
        <w:numPr>
          <w:ilvl w:val="0"/>
          <w:numId w:val="13"/>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13</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در صورتي‌كه مشتري، كسري مندرج در اخطاريه كسري حساب تضمين را در مهلت مقرر به طور كامل برطرف ننمايد، يا بدهي خود را طي مهلت مقرر در قرارداد خريد اعتباري به طور كامل تسويه نكند، كارگزار اعتباردهنده مي‌تواند اقدامات زير را انجام دهد، مشروط بر اينكه قرارداد خريد اعتباري را مطابق پيوست اين دستورالعمل با مشتري منعقد نموده باشد:</w:t>
      </w:r>
      <w:r w:rsidRPr="00DE4A22">
        <w:rPr>
          <w:rFonts w:ascii="Cambria" w:eastAsia="Times New Roman" w:hAnsi="Cambria" w:cs="Cambria" w:hint="cs"/>
          <w:sz w:val="24"/>
          <w:szCs w:val="24"/>
          <w:rtl/>
        </w:rPr>
        <w:t> </w:t>
      </w:r>
    </w:p>
    <w:p w:rsidR="00DE4A22" w:rsidRPr="00DE4A22" w:rsidRDefault="00DE4A22" w:rsidP="00DE4A22">
      <w:pPr>
        <w:numPr>
          <w:ilvl w:val="1"/>
          <w:numId w:val="13"/>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تضامين مشتري را حسب مورد بفروشد يا تبديل به نقد كند </w:t>
      </w:r>
      <w:proofErr w:type="gramStart"/>
      <w:r w:rsidRPr="00DE4A22">
        <w:rPr>
          <w:rFonts w:ascii="Times New Roman" w:eastAsia="Times New Roman" w:hAnsi="Times New Roman" w:cs="B Nazanin"/>
          <w:sz w:val="24"/>
          <w:szCs w:val="24"/>
          <w:rtl/>
        </w:rPr>
        <w:t>و بدهي</w:t>
      </w:r>
      <w:proofErr w:type="gramEnd"/>
      <w:r w:rsidRPr="00DE4A22">
        <w:rPr>
          <w:rFonts w:ascii="Times New Roman" w:eastAsia="Times New Roman" w:hAnsi="Times New Roman" w:cs="B Nazanin"/>
          <w:sz w:val="24"/>
          <w:szCs w:val="24"/>
          <w:rtl/>
        </w:rPr>
        <w:t xml:space="preserve"> تجاري مشتري را از آن محل تسويه نمايد. انتخاب تضميني كه به اين منظور به فروش مي‌رسديا تبديل به نقد مي‌گردد، به اختيار كارگزار اعتباردهنده است.</w:t>
      </w:r>
      <w:r w:rsidRPr="00DE4A22">
        <w:rPr>
          <w:rFonts w:ascii="Cambria" w:eastAsia="Times New Roman" w:hAnsi="Cambria" w:cs="Cambria" w:hint="cs"/>
          <w:sz w:val="24"/>
          <w:szCs w:val="24"/>
          <w:rtl/>
        </w:rPr>
        <w:t> </w:t>
      </w:r>
    </w:p>
    <w:p w:rsidR="00DE4A22" w:rsidRPr="00DE4A22" w:rsidRDefault="00DE4A22" w:rsidP="00DE4A22">
      <w:pPr>
        <w:numPr>
          <w:ilvl w:val="1"/>
          <w:numId w:val="13"/>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بند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در صورتي‌كه كارگزار نتواند رأساً نسبت به فروش، تبديل به نقد كردن </w:t>
      </w:r>
      <w:proofErr w:type="gramStart"/>
      <w:r w:rsidRPr="00DE4A22">
        <w:rPr>
          <w:rFonts w:ascii="Times New Roman" w:eastAsia="Times New Roman" w:hAnsi="Times New Roman" w:cs="B Nazanin"/>
          <w:sz w:val="24"/>
          <w:szCs w:val="24"/>
          <w:rtl/>
        </w:rPr>
        <w:t>و استفاده</w:t>
      </w:r>
      <w:proofErr w:type="gramEnd"/>
      <w:r w:rsidRPr="00DE4A22">
        <w:rPr>
          <w:rFonts w:ascii="Times New Roman" w:eastAsia="Times New Roman" w:hAnsi="Times New Roman" w:cs="B Nazanin"/>
          <w:sz w:val="24"/>
          <w:szCs w:val="24"/>
          <w:rtl/>
        </w:rPr>
        <w:t xml:space="preserve"> از تضامين اقدام كند، موضوع را مطابق مادۀ 36 قانون بازار اوراق بهادار، در مرجع ذيصلاح طرح و پي‌گيري نمايد.</w:t>
      </w:r>
    </w:p>
    <w:p w:rsidR="00D52874" w:rsidRDefault="00DE4A22" w:rsidP="00D52874">
      <w:pPr>
        <w:numPr>
          <w:ilvl w:val="0"/>
          <w:numId w:val="14"/>
        </w:num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14</w:t>
      </w:r>
      <w:r w:rsidRPr="00DE4A22">
        <w:rPr>
          <w:rFonts w:ascii="Times New Roman" w:eastAsia="Times New Roman" w:hAnsi="Times New Roman" w:cs="B Nazanin"/>
          <w:b/>
          <w:bCs/>
          <w:sz w:val="24"/>
          <w:szCs w:val="24"/>
        </w:rPr>
        <w:t xml:space="preserve">: </w:t>
      </w:r>
    </w:p>
    <w:p w:rsidR="00D52874"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52874">
        <w:rPr>
          <w:rFonts w:ascii="Times New Roman" w:eastAsia="Times New Roman" w:hAnsi="Times New Roman" w:cs="B Nazanin"/>
          <w:sz w:val="24"/>
          <w:szCs w:val="24"/>
          <w:rtl/>
        </w:rPr>
        <w:t xml:space="preserve">كارگزار اعتباردهنده بايد </w:t>
      </w:r>
      <w:r w:rsidRPr="00D52874">
        <w:rPr>
          <w:rFonts w:ascii="Times New Roman" w:eastAsia="Times New Roman" w:hAnsi="Times New Roman" w:cs="B Nazanin" w:hint="cs"/>
          <w:sz w:val="24"/>
          <w:szCs w:val="24"/>
          <w:rtl/>
        </w:rPr>
        <w:t>اطلاعات مربوط به</w:t>
      </w:r>
      <w:r w:rsidRPr="00D52874">
        <w:rPr>
          <w:rFonts w:ascii="Times New Roman" w:eastAsia="Times New Roman" w:hAnsi="Times New Roman" w:cs="B Nazanin"/>
          <w:sz w:val="24"/>
          <w:szCs w:val="24"/>
          <w:rtl/>
        </w:rPr>
        <w:t xml:space="preserve"> سوابق معاملات، حساب بدهي تجاري </w:t>
      </w:r>
      <w:proofErr w:type="gramStart"/>
      <w:r w:rsidRPr="00D52874">
        <w:rPr>
          <w:rFonts w:ascii="Times New Roman" w:eastAsia="Times New Roman" w:hAnsi="Times New Roman" w:cs="B Nazanin"/>
          <w:sz w:val="24"/>
          <w:szCs w:val="24"/>
          <w:rtl/>
        </w:rPr>
        <w:t>و تضمين</w:t>
      </w:r>
      <w:proofErr w:type="gramEnd"/>
      <w:r w:rsidRPr="00D52874">
        <w:rPr>
          <w:rFonts w:ascii="Times New Roman" w:eastAsia="Times New Roman" w:hAnsi="Times New Roman" w:cs="B Nazanin"/>
          <w:sz w:val="24"/>
          <w:szCs w:val="24"/>
          <w:rtl/>
        </w:rPr>
        <w:t xml:space="preserve"> مشتري را نگهداري و در پايان هر روز به</w:t>
      </w:r>
      <w:r w:rsidRPr="00D52874">
        <w:rPr>
          <w:rFonts w:ascii="Times New Roman" w:eastAsia="Times New Roman" w:hAnsi="Times New Roman" w:cs="B Nazanin"/>
          <w:sz w:val="24"/>
          <w:szCs w:val="24"/>
          <w:rtl/>
        </w:rPr>
        <w:softHyphen/>
        <w:t xml:space="preserve">روز رساني </w:t>
      </w:r>
      <w:r w:rsidRPr="00D52874">
        <w:rPr>
          <w:rFonts w:ascii="Times New Roman" w:eastAsia="Times New Roman" w:hAnsi="Times New Roman" w:cs="B Nazanin" w:hint="cs"/>
          <w:sz w:val="24"/>
          <w:szCs w:val="24"/>
          <w:rtl/>
        </w:rPr>
        <w:t>نموده و به سازمان</w:t>
      </w:r>
      <w:r w:rsidRPr="00D52874">
        <w:rPr>
          <w:rFonts w:ascii="Times New Roman" w:eastAsia="Times New Roman" w:hAnsi="Times New Roman" w:cs="B Nazanin"/>
          <w:sz w:val="24"/>
          <w:szCs w:val="24"/>
          <w:rtl/>
        </w:rPr>
        <w:t xml:space="preserve"> </w:t>
      </w:r>
      <w:r w:rsidRPr="00D52874">
        <w:rPr>
          <w:rFonts w:ascii="Times New Roman" w:eastAsia="Times New Roman" w:hAnsi="Times New Roman" w:cs="B Nazanin" w:hint="cs"/>
          <w:sz w:val="24"/>
          <w:szCs w:val="24"/>
          <w:rtl/>
        </w:rPr>
        <w:t>یا اشخاص تعیین شده توسط سازمان ارسال نما</w:t>
      </w:r>
      <w:r w:rsidRPr="00D52874">
        <w:rPr>
          <w:rFonts w:ascii="Times New Roman" w:eastAsia="Times New Roman" w:hAnsi="Times New Roman" w:cs="B Nazanin" w:hint="cs"/>
          <w:sz w:val="24"/>
          <w:szCs w:val="24"/>
          <w:rtl/>
        </w:rPr>
        <w:t>ید.</w:t>
      </w:r>
    </w:p>
    <w:p w:rsidR="00D52874" w:rsidRDefault="00D52874" w:rsidP="00D52874">
      <w:pPr>
        <w:numPr>
          <w:ilvl w:val="1"/>
          <w:numId w:val="12"/>
        </w:num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b/>
          <w:bCs/>
          <w:sz w:val="24"/>
          <w:szCs w:val="24"/>
          <w:rtl/>
        </w:rPr>
        <w:t>تبصره</w:t>
      </w:r>
      <w:r w:rsidRPr="00DE4A22">
        <w:rPr>
          <w:rFonts w:ascii="Times New Roman" w:eastAsia="Times New Roman" w:hAnsi="Times New Roman" w:cs="B Nazanin"/>
          <w:b/>
          <w:bCs/>
          <w:sz w:val="24"/>
          <w:szCs w:val="24"/>
        </w:rPr>
        <w:t xml:space="preserve">: </w:t>
      </w:r>
    </w:p>
    <w:p w:rsidR="00D52874"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52874">
        <w:rPr>
          <w:rFonts w:cs="B Mitra" w:hint="cs"/>
          <w:sz w:val="24"/>
          <w:szCs w:val="24"/>
          <w:rtl/>
          <w:lang w:val="en-GB" w:bidi="fa-IR"/>
        </w:rPr>
        <w:t>آخرین وضعیت حساب بدهی تجاری و تضمین هر مشتری و جزئیات آن شامل اقلام اطلاعاتی زیر، باید در هر زمان در دسترس مشتری قرار داشته باشد:</w:t>
      </w:r>
    </w:p>
    <w:p w:rsidR="00D52874"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52874">
        <w:rPr>
          <w:rFonts w:ascii="Times New Roman" w:hAnsi="Times New Roman" w:cs="B Mitra" w:hint="cs"/>
          <w:noProof/>
          <w:sz w:val="24"/>
          <w:szCs w:val="24"/>
          <w:rtl/>
          <w:lang w:val="en-GB" w:bidi="fa-IR"/>
        </w:rPr>
        <w:t>الف) گردش حساب مشتری با شرح تراکنش</w:t>
      </w:r>
      <w:r w:rsidRPr="00D52874">
        <w:rPr>
          <w:rFonts w:ascii="Times New Roman" w:hAnsi="Times New Roman" w:cs="B Mitra"/>
          <w:noProof/>
          <w:sz w:val="24"/>
          <w:szCs w:val="24"/>
          <w:rtl/>
          <w:lang w:val="en-GB" w:bidi="fa-IR"/>
        </w:rPr>
        <w:softHyphen/>
      </w:r>
      <w:r w:rsidRPr="00D52874">
        <w:rPr>
          <w:rFonts w:ascii="Times New Roman" w:hAnsi="Times New Roman" w:cs="B Mitra" w:hint="cs"/>
          <w:noProof/>
          <w:sz w:val="24"/>
          <w:szCs w:val="24"/>
          <w:rtl/>
          <w:lang w:val="en-GB" w:bidi="fa-IR"/>
        </w:rPr>
        <w:t>هایی که به بدهکار یا بستانکار حساب وی منظور شده است؛</w:t>
      </w:r>
    </w:p>
    <w:p w:rsidR="00D52874" w:rsidRPr="00D52874"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52874">
        <w:rPr>
          <w:rFonts w:ascii="Times New Roman" w:eastAsia="Times New Roman" w:hAnsi="Times New Roman" w:cs="B Mitra" w:hint="cs"/>
          <w:noProof/>
          <w:sz w:val="24"/>
          <w:szCs w:val="24"/>
          <w:rtl/>
          <w:lang w:val="en-GB" w:bidi="fa-IR"/>
        </w:rPr>
        <w:t xml:space="preserve">ب) </w:t>
      </w:r>
      <w:r w:rsidRPr="00D52874">
        <w:rPr>
          <w:rFonts w:ascii="Times New Roman" w:hAnsi="Times New Roman" w:cs="B Mitra" w:hint="cs"/>
          <w:noProof/>
          <w:sz w:val="24"/>
          <w:szCs w:val="24"/>
          <w:rtl/>
          <w:lang w:val="en-GB" w:bidi="fa-IR"/>
        </w:rPr>
        <w:t>فهرست اوراق بهادار موجود در حساب تضمین مشتری شامل تعداد، نوع، ارزش روز، ضریب تعدیل و ارزش تعدیل شدۀ هر یک از اوراق بهادار مزبور؛</w:t>
      </w:r>
    </w:p>
    <w:p w:rsidR="00D52874" w:rsidRPr="00DE4A22"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p>
    <w:p w:rsidR="00DE4A22" w:rsidRPr="00DE4A22" w:rsidRDefault="00DE4A22" w:rsidP="00DE4A22">
      <w:pPr>
        <w:numPr>
          <w:ilvl w:val="0"/>
          <w:numId w:val="15"/>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lastRenderedPageBreak/>
        <w:t xml:space="preserve">ماده </w:t>
      </w:r>
      <w:r>
        <w:rPr>
          <w:rFonts w:ascii="Times New Roman" w:eastAsia="Times New Roman" w:hAnsi="Times New Roman" w:cs="B Nazanin" w:hint="cs"/>
          <w:b/>
          <w:bCs/>
          <w:sz w:val="24"/>
          <w:szCs w:val="24"/>
          <w:rtl/>
        </w:rPr>
        <w:t>15</w:t>
      </w:r>
      <w:r w:rsidRPr="00DE4A22">
        <w:rPr>
          <w:rFonts w:ascii="Times New Roman" w:eastAsia="Times New Roman" w:hAnsi="Times New Roman" w:cs="B Nazanin"/>
          <w:b/>
          <w:bCs/>
          <w:sz w:val="24"/>
          <w:szCs w:val="24"/>
        </w:rPr>
        <w:t xml:space="preserve">: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كارگزار اعتباردهنده بايد گزارش ماهانه عمليات اعتباري خود را به تفكيك مشتري، طبق فرمت تعيين شده به سازمان </w:t>
      </w:r>
      <w:proofErr w:type="gramStart"/>
      <w:r w:rsidRPr="00DE4A22">
        <w:rPr>
          <w:rFonts w:ascii="Times New Roman" w:eastAsia="Times New Roman" w:hAnsi="Times New Roman" w:cs="B Nazanin"/>
          <w:sz w:val="24"/>
          <w:szCs w:val="24"/>
          <w:rtl/>
        </w:rPr>
        <w:t>و ساير</w:t>
      </w:r>
      <w:proofErr w:type="gramEnd"/>
      <w:r w:rsidRPr="00DE4A22">
        <w:rPr>
          <w:rFonts w:ascii="Times New Roman" w:eastAsia="Times New Roman" w:hAnsi="Times New Roman" w:cs="B Nazanin"/>
          <w:sz w:val="24"/>
          <w:szCs w:val="24"/>
          <w:rtl/>
        </w:rPr>
        <w:t xml:space="preserve"> مراجع مورد نظر سازمان ارائه كند.</w:t>
      </w:r>
    </w:p>
    <w:p w:rsidR="00DE4A22" w:rsidRPr="00DE4A22" w:rsidRDefault="00DE4A22" w:rsidP="00DE4A22">
      <w:pPr>
        <w:numPr>
          <w:ilvl w:val="0"/>
          <w:numId w:val="16"/>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16</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كارگزار مجاز به خريد اعتباري براي مديران (اعم از مديرعامل </w:t>
      </w:r>
      <w:proofErr w:type="gramStart"/>
      <w:r w:rsidRPr="00DE4A22">
        <w:rPr>
          <w:rFonts w:ascii="Times New Roman" w:eastAsia="Times New Roman" w:hAnsi="Times New Roman" w:cs="B Nazanin"/>
          <w:sz w:val="24"/>
          <w:szCs w:val="24"/>
          <w:rtl/>
        </w:rPr>
        <w:t>و اعضاي</w:t>
      </w:r>
      <w:proofErr w:type="gramEnd"/>
      <w:r w:rsidRPr="00DE4A22">
        <w:rPr>
          <w:rFonts w:ascii="Times New Roman" w:eastAsia="Times New Roman" w:hAnsi="Times New Roman" w:cs="B Nazanin"/>
          <w:sz w:val="24"/>
          <w:szCs w:val="24"/>
          <w:rtl/>
        </w:rPr>
        <w:t xml:space="preserve"> هيأت مديره) و كاركنان شركت كارگزاري و اشخاص وابسته به آن‌‌ها و همچنين سهامداران حقيقي شركت كارگزاري و اشخاص وابسته به آنها نيست.</w:t>
      </w:r>
    </w:p>
    <w:p w:rsidR="00DE4A22" w:rsidRPr="00DE4A22" w:rsidRDefault="00DE4A22" w:rsidP="00DE4A22">
      <w:pPr>
        <w:numPr>
          <w:ilvl w:val="0"/>
          <w:numId w:val="17"/>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17</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تخلف كارگزاري از قرارداد خريد اعتباري يا مفاد اين دستورالعمل، بر اساس دستورالعمل مربوطه رسيدگي مي‌شود. درصورت احراز تخلف، مرجع رسيدگي كننده متناسباً يك يا چند مورد از تنبيهات زير را در نظر مي‌گيرد:</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1 - تذكر كتبي به كارگزاري با درج در پرونده؛</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2 - اخطار كتبي به كارگزاري با درج در پرونده؛</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3 - تعليق فعاليت شعبه يا نمايندگي كه تخلف از طريق آن صورت پذيرفته حداكثر تا يك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4 - </w:t>
      </w:r>
      <w:proofErr w:type="gramStart"/>
      <w:r w:rsidRPr="00DE4A22">
        <w:rPr>
          <w:rFonts w:ascii="Times New Roman" w:eastAsia="Times New Roman" w:hAnsi="Times New Roman" w:cs="B Nazanin"/>
          <w:sz w:val="24"/>
          <w:szCs w:val="24"/>
          <w:rtl/>
        </w:rPr>
        <w:t>الزام</w:t>
      </w:r>
      <w:proofErr w:type="gramEnd"/>
      <w:r w:rsidRPr="00DE4A22">
        <w:rPr>
          <w:rFonts w:ascii="Times New Roman" w:eastAsia="Times New Roman" w:hAnsi="Times New Roman" w:cs="B Nazanin"/>
          <w:sz w:val="24"/>
          <w:szCs w:val="24"/>
          <w:rtl/>
        </w:rPr>
        <w:t xml:space="preserve"> به تعطيلي شعبه يا نمايندگي كه تخلف از طريق آن صورت پذيرفته؛</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5 - محدود كردن فعاليت كارگزاري حداكثر تا يك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6 - محروميت از ارائه‌ خدمات خريد اعتباري به مشتريان حداكثر تا يك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7 - تعليق مجوز فعاليت كارگزاري براي مدت حداكثر تا يك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8 - تعليق ساير فعاليت‌هاي كارگزاري به مدت حداكثر تا يك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9 - لغو مجوز كارگزاري؛</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10 </w:t>
      </w:r>
      <w:r w:rsidRPr="00DE4A22">
        <w:rPr>
          <w:rFonts w:ascii="Times New Roman" w:eastAsia="Times New Roman" w:hAnsi="Times New Roman" w:cs="Times New Roman" w:hint="cs"/>
          <w:sz w:val="24"/>
          <w:szCs w:val="24"/>
          <w:rtl/>
        </w:rPr>
        <w:t>–</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جريمه‌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نقدي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كارگزاري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مطابق</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آيين‌نامه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ماده‌</w:t>
      </w:r>
      <w:r w:rsidRPr="00DE4A22">
        <w:rPr>
          <w:rFonts w:ascii="Times New Roman" w:eastAsia="Times New Roman" w:hAnsi="Times New Roman" w:cs="B Nazanin"/>
          <w:sz w:val="24"/>
          <w:szCs w:val="24"/>
          <w:rtl/>
        </w:rPr>
        <w:t xml:space="preserve"> 14 </w:t>
      </w:r>
      <w:r w:rsidRPr="00DE4A22">
        <w:rPr>
          <w:rFonts w:ascii="Times New Roman" w:eastAsia="Times New Roman" w:hAnsi="Times New Roman" w:cs="B Nazanin" w:hint="cs"/>
          <w:sz w:val="24"/>
          <w:szCs w:val="24"/>
          <w:rtl/>
        </w:rPr>
        <w:t>قا</w:t>
      </w:r>
      <w:r w:rsidRPr="00DE4A22">
        <w:rPr>
          <w:rFonts w:ascii="Times New Roman" w:eastAsia="Times New Roman" w:hAnsi="Times New Roman" w:cs="B Nazanin"/>
          <w:sz w:val="24"/>
          <w:szCs w:val="24"/>
          <w:rtl/>
        </w:rPr>
        <w:t xml:space="preserve">نون توسعه ابزارها </w:t>
      </w:r>
      <w:proofErr w:type="gramStart"/>
      <w:r w:rsidRPr="00DE4A22">
        <w:rPr>
          <w:rFonts w:ascii="Times New Roman" w:eastAsia="Times New Roman" w:hAnsi="Times New Roman" w:cs="B Nazanin"/>
          <w:sz w:val="24"/>
          <w:szCs w:val="24"/>
          <w:rtl/>
        </w:rPr>
        <w:t>و نهادهاي</w:t>
      </w:r>
      <w:proofErr w:type="gramEnd"/>
      <w:r w:rsidRPr="00DE4A22">
        <w:rPr>
          <w:rFonts w:ascii="Times New Roman" w:eastAsia="Times New Roman" w:hAnsi="Times New Roman" w:cs="B Nazanin"/>
          <w:sz w:val="24"/>
          <w:szCs w:val="24"/>
          <w:rtl/>
        </w:rPr>
        <w:t xml:space="preserve"> مالي جديد.</w:t>
      </w:r>
    </w:p>
    <w:p w:rsidR="00D52874"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p>
    <w:p w:rsidR="00D52874" w:rsidRPr="00DE4A22" w:rsidRDefault="00D52874" w:rsidP="00D52874">
      <w:pPr>
        <w:bidi/>
        <w:spacing w:before="100" w:beforeAutospacing="1" w:after="100" w:afterAutospacing="1" w:line="240" w:lineRule="auto"/>
        <w:ind w:left="-180"/>
        <w:jc w:val="lowKashida"/>
        <w:rPr>
          <w:rFonts w:ascii="Times New Roman" w:eastAsia="Times New Roman" w:hAnsi="Times New Roman" w:cs="B Nazanin"/>
          <w:sz w:val="24"/>
          <w:szCs w:val="24"/>
          <w:rtl/>
        </w:rPr>
      </w:pPr>
    </w:p>
    <w:p w:rsidR="00DE4A22" w:rsidRPr="00DE4A22" w:rsidRDefault="00DE4A22" w:rsidP="00DE4A22">
      <w:pPr>
        <w:numPr>
          <w:ilvl w:val="1"/>
          <w:numId w:val="17"/>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lastRenderedPageBreak/>
        <w:t xml:space="preserve">تبصره </w:t>
      </w:r>
      <w:r>
        <w:rPr>
          <w:rFonts w:ascii="Times New Roman" w:eastAsia="Times New Roman" w:hAnsi="Times New Roman" w:cs="B Nazanin" w:hint="cs"/>
          <w:b/>
          <w:bCs/>
          <w:sz w:val="24"/>
          <w:szCs w:val="24"/>
          <w:rtl/>
        </w:rPr>
        <w:t>1</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در صورتي كه تخلف ناشي از فعل يا ترك فعل مدير يا مديران، يا ساير كاركنان كارگزاري باشد، مرجع رسيدگي به تخلفات، علاوه بر تنبيهات مقرر در اين ماده براي كارگزاري، مدير يا هر يك از افراد متخلف مذكور را حسب مورد به يكي از تنبيهات انضباطي زير محكوم مي‌كند:</w:t>
      </w:r>
      <w:r w:rsidRPr="00DE4A22">
        <w:rPr>
          <w:rFonts w:ascii="Cambria" w:eastAsia="Times New Roman" w:hAnsi="Cambria" w:cs="Cambria" w:hint="cs"/>
          <w:sz w:val="24"/>
          <w:szCs w:val="24"/>
          <w:rtl/>
        </w:rPr>
        <w:t>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1 - تذكر كتبي با درج در پرونده؛</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2 - اخطار كتبي با درج در پرونده؛</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3 - سلب صلاحيت از ادامه‌ تصدي سمت مديريت حداكثر تا دو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4 - محروميت از تصدي سمت در تمام يا برخي از بورس‌ها، بازارهاي خارج از بورس، كانون‌ها </w:t>
      </w:r>
      <w:proofErr w:type="gramStart"/>
      <w:r w:rsidRPr="00DE4A22">
        <w:rPr>
          <w:rFonts w:ascii="Times New Roman" w:eastAsia="Times New Roman" w:hAnsi="Times New Roman" w:cs="B Nazanin"/>
          <w:sz w:val="24"/>
          <w:szCs w:val="24"/>
          <w:rtl/>
        </w:rPr>
        <w:t>و نهادهاي</w:t>
      </w:r>
      <w:proofErr w:type="gramEnd"/>
      <w:r w:rsidRPr="00DE4A22">
        <w:rPr>
          <w:rFonts w:ascii="Times New Roman" w:eastAsia="Times New Roman" w:hAnsi="Times New Roman" w:cs="B Nazanin"/>
          <w:sz w:val="24"/>
          <w:szCs w:val="24"/>
          <w:rtl/>
        </w:rPr>
        <w:t xml:space="preserve"> مالي حداكثر تا دو سال؛</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5 - محروميت از استفاده از گواهي‌نامه‌</w:t>
      </w:r>
      <w:r w:rsidRPr="00DE4A22">
        <w:rPr>
          <w:rFonts w:ascii="Cambria" w:eastAsia="Times New Roman" w:hAnsi="Cambria" w:cs="Cambria" w:hint="cs"/>
          <w:sz w:val="24"/>
          <w:szCs w:val="24"/>
          <w:rtl/>
        </w:rPr>
        <w:t>¬</w:t>
      </w:r>
      <w:r w:rsidRPr="00DE4A22">
        <w:rPr>
          <w:rFonts w:ascii="Times New Roman" w:eastAsia="Times New Roman" w:hAnsi="Times New Roman" w:cs="B Nazanin" w:hint="cs"/>
          <w:sz w:val="24"/>
          <w:szCs w:val="24"/>
          <w:rtl/>
        </w:rPr>
        <w:t>هاي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حرفه‌اي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صادره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توسط</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سازمان</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به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مدت</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حداكثر</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تا</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دو</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سال؛</w:t>
      </w:r>
      <w:r w:rsidRPr="00DE4A22">
        <w:rPr>
          <w:rFonts w:ascii="Cambria" w:eastAsia="Times New Roman" w:hAnsi="Cambria" w:cs="Cambria" w:hint="cs"/>
          <w:sz w:val="24"/>
          <w:szCs w:val="24"/>
          <w:rtl/>
        </w:rPr>
        <w:t>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6 </w:t>
      </w:r>
      <w:r w:rsidRPr="00DE4A22">
        <w:rPr>
          <w:rFonts w:ascii="Times New Roman" w:eastAsia="Times New Roman" w:hAnsi="Times New Roman" w:cs="Times New Roman" w:hint="cs"/>
          <w:sz w:val="24"/>
          <w:szCs w:val="24"/>
          <w:rtl/>
        </w:rPr>
        <w:t>–</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جريمه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نقدي</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مطابق</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آيين</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نامه‌</w:t>
      </w:r>
      <w:r w:rsidRPr="00DE4A22">
        <w:rPr>
          <w:rFonts w:ascii="Times New Roman" w:eastAsia="Times New Roman" w:hAnsi="Times New Roman" w:cs="B Nazanin"/>
          <w:sz w:val="24"/>
          <w:szCs w:val="24"/>
          <w:rtl/>
        </w:rPr>
        <w:t xml:space="preserve"> </w:t>
      </w:r>
      <w:r w:rsidRPr="00DE4A22">
        <w:rPr>
          <w:rFonts w:ascii="Times New Roman" w:eastAsia="Times New Roman" w:hAnsi="Times New Roman" w:cs="B Nazanin" w:hint="cs"/>
          <w:sz w:val="24"/>
          <w:szCs w:val="24"/>
          <w:rtl/>
        </w:rPr>
        <w:t>ماده‌</w:t>
      </w:r>
      <w:r w:rsidRPr="00DE4A22">
        <w:rPr>
          <w:rFonts w:ascii="Times New Roman" w:eastAsia="Times New Roman" w:hAnsi="Times New Roman" w:cs="B Nazanin"/>
          <w:sz w:val="24"/>
          <w:szCs w:val="24"/>
          <w:rtl/>
        </w:rPr>
        <w:t xml:space="preserve"> 14 </w:t>
      </w:r>
      <w:r w:rsidRPr="00DE4A22">
        <w:rPr>
          <w:rFonts w:ascii="Times New Roman" w:eastAsia="Times New Roman" w:hAnsi="Times New Roman" w:cs="B Nazanin" w:hint="cs"/>
          <w:sz w:val="24"/>
          <w:szCs w:val="24"/>
          <w:rtl/>
        </w:rPr>
        <w:t>قانو</w:t>
      </w:r>
      <w:r w:rsidRPr="00DE4A22">
        <w:rPr>
          <w:rFonts w:ascii="Times New Roman" w:eastAsia="Times New Roman" w:hAnsi="Times New Roman" w:cs="B Nazanin"/>
          <w:sz w:val="24"/>
          <w:szCs w:val="24"/>
          <w:rtl/>
        </w:rPr>
        <w:t xml:space="preserve">ن توسعه ابزارها </w:t>
      </w:r>
      <w:proofErr w:type="gramStart"/>
      <w:r w:rsidRPr="00DE4A22">
        <w:rPr>
          <w:rFonts w:ascii="Times New Roman" w:eastAsia="Times New Roman" w:hAnsi="Times New Roman" w:cs="B Nazanin"/>
          <w:sz w:val="24"/>
          <w:szCs w:val="24"/>
          <w:rtl/>
        </w:rPr>
        <w:t>و نهادهاي</w:t>
      </w:r>
      <w:proofErr w:type="gramEnd"/>
      <w:r w:rsidRPr="00DE4A22">
        <w:rPr>
          <w:rFonts w:ascii="Times New Roman" w:eastAsia="Times New Roman" w:hAnsi="Times New Roman" w:cs="B Nazanin"/>
          <w:sz w:val="24"/>
          <w:szCs w:val="24"/>
          <w:rtl/>
        </w:rPr>
        <w:t xml:space="preserve"> مالي جديد.</w:t>
      </w:r>
    </w:p>
    <w:p w:rsidR="00DE4A22" w:rsidRPr="00DE4A22" w:rsidRDefault="00DE4A22" w:rsidP="00DE4A22">
      <w:pPr>
        <w:numPr>
          <w:ilvl w:val="1"/>
          <w:numId w:val="17"/>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2</w:t>
      </w:r>
      <w:r w:rsidRPr="00DE4A22">
        <w:rPr>
          <w:rFonts w:ascii="Times New Roman" w:eastAsia="Times New Roman" w:hAnsi="Times New Roman" w:cs="B Nazanin"/>
          <w:b/>
          <w:bCs/>
          <w:sz w:val="24"/>
          <w:szCs w:val="24"/>
        </w:rPr>
        <w:t xml:space="preserve">: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مرجع رسيدگي به تخلفات مي‌تواند به منظور پيشگيري از تكرار تخلف يا گسترش دامنه‌ آن، اعاده‌‌ وضعيت به قبل از انجام تخلف يا رفع اثرات تخلف انجام شده، كارگزاري متخلف را ملزم به موارد زير نمايد:</w:t>
      </w:r>
      <w:r w:rsidRPr="00DE4A22">
        <w:rPr>
          <w:rFonts w:ascii="Cambria" w:eastAsia="Times New Roman" w:hAnsi="Cambria" w:cs="Cambria" w:hint="cs"/>
          <w:sz w:val="24"/>
          <w:szCs w:val="24"/>
          <w:rtl/>
        </w:rPr>
        <w:t> </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1- اصلاح ساختار سازماني؛</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2- اصلاح فرآيندهاي عملياتي </w:t>
      </w:r>
      <w:proofErr w:type="gramStart"/>
      <w:r w:rsidRPr="00DE4A22">
        <w:rPr>
          <w:rFonts w:ascii="Times New Roman" w:eastAsia="Times New Roman" w:hAnsi="Times New Roman" w:cs="B Nazanin"/>
          <w:sz w:val="24"/>
          <w:szCs w:val="24"/>
          <w:rtl/>
        </w:rPr>
        <w:t>و تقويت</w:t>
      </w:r>
      <w:proofErr w:type="gramEnd"/>
      <w:r w:rsidRPr="00DE4A22">
        <w:rPr>
          <w:rFonts w:ascii="Times New Roman" w:eastAsia="Times New Roman" w:hAnsi="Times New Roman" w:cs="B Nazanin"/>
          <w:sz w:val="24"/>
          <w:szCs w:val="24"/>
          <w:rtl/>
        </w:rPr>
        <w:t xml:space="preserve"> كنترل هاي داخلي؛</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3- اصلاح ساختار مالكيتي؛</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4- اصلاح ساختار منابع تأمين مالي </w:t>
      </w:r>
      <w:proofErr w:type="gramStart"/>
      <w:r w:rsidRPr="00DE4A22">
        <w:rPr>
          <w:rFonts w:ascii="Times New Roman" w:eastAsia="Times New Roman" w:hAnsi="Times New Roman" w:cs="B Nazanin"/>
          <w:sz w:val="24"/>
          <w:szCs w:val="24"/>
          <w:rtl/>
        </w:rPr>
        <w:t>و تركيب</w:t>
      </w:r>
      <w:proofErr w:type="gramEnd"/>
      <w:r w:rsidRPr="00DE4A22">
        <w:rPr>
          <w:rFonts w:ascii="Times New Roman" w:eastAsia="Times New Roman" w:hAnsi="Times New Roman" w:cs="B Nazanin"/>
          <w:sz w:val="24"/>
          <w:szCs w:val="24"/>
          <w:rtl/>
        </w:rPr>
        <w:t xml:space="preserve"> دارايي‌ها؛</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5- به كارگيري تعداد كافي نيروي انساني داراي صلاحيت‌هاي معين؛</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6- به كارگيري تجهيزات </w:t>
      </w:r>
      <w:proofErr w:type="gramStart"/>
      <w:r w:rsidRPr="00DE4A22">
        <w:rPr>
          <w:rFonts w:ascii="Times New Roman" w:eastAsia="Times New Roman" w:hAnsi="Times New Roman" w:cs="B Nazanin"/>
          <w:sz w:val="24"/>
          <w:szCs w:val="24"/>
          <w:rtl/>
        </w:rPr>
        <w:t>و امكانات</w:t>
      </w:r>
      <w:proofErr w:type="gramEnd"/>
      <w:r w:rsidRPr="00DE4A22">
        <w:rPr>
          <w:rFonts w:ascii="Times New Roman" w:eastAsia="Times New Roman" w:hAnsi="Times New Roman" w:cs="B Nazanin"/>
          <w:sz w:val="24"/>
          <w:szCs w:val="24"/>
          <w:rtl/>
        </w:rPr>
        <w:t xml:space="preserve"> خاص؛</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7- انتقال يا تعديل تمام يا برخي از تعهداتي كه كارگزاري بر خلاف مقررات پذيرفته است؛</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8- تهيۀ گزارش يا مستندات معين </w:t>
      </w:r>
      <w:proofErr w:type="gramStart"/>
      <w:r w:rsidRPr="00DE4A22">
        <w:rPr>
          <w:rFonts w:ascii="Times New Roman" w:eastAsia="Times New Roman" w:hAnsi="Times New Roman" w:cs="B Nazanin"/>
          <w:sz w:val="24"/>
          <w:szCs w:val="24"/>
          <w:rtl/>
        </w:rPr>
        <w:t>و نگه‌داري</w:t>
      </w:r>
      <w:proofErr w:type="gramEnd"/>
      <w:r w:rsidRPr="00DE4A22">
        <w:rPr>
          <w:rFonts w:ascii="Times New Roman" w:eastAsia="Times New Roman" w:hAnsi="Times New Roman" w:cs="B Nazanin"/>
          <w:sz w:val="24"/>
          <w:szCs w:val="24"/>
          <w:rtl/>
        </w:rPr>
        <w:t xml:space="preserve"> يا ارايۀ آن به سازمان يا مراجع ديگر؛</w:t>
      </w:r>
    </w:p>
    <w:p w:rsidR="00DE4A22" w:rsidRP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lastRenderedPageBreak/>
        <w:t xml:space="preserve">مرجع رسيدگي همچنين مي‌تواند براي انجام موارد موضوع اين تبصره، مهلت تعيين كرده </w:t>
      </w:r>
      <w:proofErr w:type="gramStart"/>
      <w:r w:rsidRPr="00DE4A22">
        <w:rPr>
          <w:rFonts w:ascii="Times New Roman" w:eastAsia="Times New Roman" w:hAnsi="Times New Roman" w:cs="B Nazanin"/>
          <w:sz w:val="24"/>
          <w:szCs w:val="24"/>
          <w:rtl/>
        </w:rPr>
        <w:t>و رفع</w:t>
      </w:r>
      <w:proofErr w:type="gramEnd"/>
      <w:r w:rsidRPr="00DE4A22">
        <w:rPr>
          <w:rFonts w:ascii="Times New Roman" w:eastAsia="Times New Roman" w:hAnsi="Times New Roman" w:cs="B Nazanin"/>
          <w:sz w:val="24"/>
          <w:szCs w:val="24"/>
          <w:rtl/>
        </w:rPr>
        <w:t xml:space="preserve"> تعليق از تمام يا بخشي از فعاليت‌ها يا رفع محدوديت از فعاليت‌هاي خريد اعتباري را منوط به اجراي آن‌ها در مهلت مقرر نمايد. در صورت عدم اجراي موارد تعيين شده در اين تبصره در مهلت مقرر، مرجع رسيدگي مي‌تواند تنبيهات مذكور در اين ماده را اعمال كند.</w:t>
      </w:r>
      <w:r w:rsidRPr="00DE4A22">
        <w:rPr>
          <w:rFonts w:ascii="Cambria" w:eastAsia="Times New Roman" w:hAnsi="Cambria" w:cs="Cambria" w:hint="cs"/>
          <w:sz w:val="24"/>
          <w:szCs w:val="24"/>
          <w:rtl/>
        </w:rPr>
        <w:t> </w:t>
      </w:r>
    </w:p>
    <w:p w:rsidR="00DE4A22" w:rsidRPr="00DE4A22" w:rsidRDefault="00DE4A22" w:rsidP="00DE4A22">
      <w:pPr>
        <w:numPr>
          <w:ilvl w:val="1"/>
          <w:numId w:val="17"/>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تبصره </w:t>
      </w:r>
      <w:r>
        <w:rPr>
          <w:rFonts w:ascii="Times New Roman" w:eastAsia="Times New Roman" w:hAnsi="Times New Roman" w:cs="B Nazanin" w:hint="cs"/>
          <w:b/>
          <w:bCs/>
          <w:sz w:val="24"/>
          <w:szCs w:val="24"/>
          <w:rtl/>
        </w:rPr>
        <w:t>3</w:t>
      </w:r>
      <w:r w:rsidRPr="00DE4A22">
        <w:rPr>
          <w:rFonts w:ascii="Times New Roman" w:eastAsia="Times New Roman" w:hAnsi="Times New Roman" w:cs="B Nazanin"/>
          <w:b/>
          <w:bCs/>
          <w:sz w:val="24"/>
          <w:szCs w:val="24"/>
        </w:rPr>
        <w:t xml:space="preserve">: </w:t>
      </w:r>
    </w:p>
    <w:p w:rsidR="00DE4A22" w:rsidRDefault="00DE4A22" w:rsidP="00DE4A22">
      <w:p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sz w:val="24"/>
          <w:szCs w:val="24"/>
          <w:rtl/>
        </w:rPr>
        <w:t xml:space="preserve">اعمال تنبيهات موضوع اين ماده مانع از مجازات‌هايي كه در قوانين در صورت ارتكاب جرم پيش‌بيني شده يا مانع از جبران خساراتي كه در </w:t>
      </w:r>
      <w:proofErr w:type="gramStart"/>
      <w:r w:rsidRPr="00DE4A22">
        <w:rPr>
          <w:rFonts w:ascii="Times New Roman" w:eastAsia="Times New Roman" w:hAnsi="Times New Roman" w:cs="B Nazanin"/>
          <w:sz w:val="24"/>
          <w:szCs w:val="24"/>
          <w:rtl/>
        </w:rPr>
        <w:t>اثر</w:t>
      </w:r>
      <w:proofErr w:type="gramEnd"/>
      <w:r w:rsidRPr="00DE4A22">
        <w:rPr>
          <w:rFonts w:ascii="Times New Roman" w:eastAsia="Times New Roman" w:hAnsi="Times New Roman" w:cs="B Nazanin"/>
          <w:sz w:val="24"/>
          <w:szCs w:val="24"/>
          <w:rtl/>
        </w:rPr>
        <w:t xml:space="preserve"> ارتكاب تخلفات يا جرايم به مشتري يا ساير اشخاص وارد شده، نخواهد شد.</w:t>
      </w:r>
    </w:p>
    <w:p w:rsidR="00DE4A22" w:rsidRPr="00DE4A22" w:rsidRDefault="00DE4A22" w:rsidP="00DE4A22">
      <w:pPr>
        <w:numPr>
          <w:ilvl w:val="0"/>
          <w:numId w:val="18"/>
        </w:numPr>
        <w:bidi/>
        <w:spacing w:before="100" w:beforeAutospacing="1" w:after="100" w:afterAutospacing="1" w:line="240" w:lineRule="auto"/>
        <w:ind w:left="-180"/>
        <w:jc w:val="lowKashida"/>
        <w:rPr>
          <w:rFonts w:ascii="Times New Roman" w:eastAsia="Times New Roman" w:hAnsi="Times New Roman" w:cs="B Nazanin"/>
          <w:sz w:val="24"/>
          <w:szCs w:val="24"/>
          <w:rtl/>
        </w:rPr>
      </w:pPr>
      <w:r w:rsidRPr="00DE4A22">
        <w:rPr>
          <w:rFonts w:ascii="Times New Roman" w:eastAsia="Times New Roman" w:hAnsi="Times New Roman" w:cs="B Nazanin"/>
          <w:b/>
          <w:bCs/>
          <w:sz w:val="24"/>
          <w:szCs w:val="24"/>
          <w:rtl/>
        </w:rPr>
        <w:t xml:space="preserve">ماده </w:t>
      </w:r>
      <w:r>
        <w:rPr>
          <w:rFonts w:ascii="Times New Roman" w:eastAsia="Times New Roman" w:hAnsi="Times New Roman" w:cs="B Nazanin" w:hint="cs"/>
          <w:b/>
          <w:bCs/>
          <w:sz w:val="24"/>
          <w:szCs w:val="24"/>
          <w:rtl/>
        </w:rPr>
        <w:t>18</w:t>
      </w:r>
      <w:r w:rsidRPr="00DE4A22">
        <w:rPr>
          <w:rFonts w:ascii="Times New Roman" w:eastAsia="Times New Roman" w:hAnsi="Times New Roman" w:cs="B Nazanin"/>
          <w:b/>
          <w:bCs/>
          <w:sz w:val="24"/>
          <w:szCs w:val="24"/>
        </w:rPr>
        <w:t xml:space="preserve">: </w:t>
      </w:r>
    </w:p>
    <w:p w:rsidR="00DE4A22" w:rsidRPr="00DE4A22" w:rsidRDefault="00DE4A22" w:rsidP="00D52874">
      <w:pPr>
        <w:bidi/>
        <w:spacing w:before="100" w:beforeAutospacing="1" w:after="100" w:afterAutospacing="1" w:line="240" w:lineRule="auto"/>
        <w:ind w:left="-180"/>
        <w:jc w:val="lowKashida"/>
        <w:rPr>
          <w:rFonts w:ascii="Times New Roman" w:eastAsia="Times New Roman" w:hAnsi="Times New Roman" w:cs="B Nazanin"/>
          <w:sz w:val="24"/>
          <w:szCs w:val="24"/>
        </w:rPr>
      </w:pPr>
      <w:r w:rsidRPr="00DE4A22">
        <w:rPr>
          <w:rFonts w:ascii="Times New Roman" w:eastAsia="Times New Roman" w:hAnsi="Times New Roman" w:cs="B Nazanin"/>
          <w:sz w:val="24"/>
          <w:szCs w:val="24"/>
          <w:rtl/>
        </w:rPr>
        <w:t xml:space="preserve">اين دستورالعمل در 18 ماده </w:t>
      </w:r>
      <w:proofErr w:type="gramStart"/>
      <w:r w:rsidRPr="00DE4A22">
        <w:rPr>
          <w:rFonts w:ascii="Times New Roman" w:eastAsia="Times New Roman" w:hAnsi="Times New Roman" w:cs="B Nazanin"/>
          <w:sz w:val="24"/>
          <w:szCs w:val="24"/>
          <w:rtl/>
        </w:rPr>
        <w:t>و 1</w:t>
      </w:r>
      <w:r w:rsidR="00D52874">
        <w:rPr>
          <w:rFonts w:ascii="Times New Roman" w:eastAsia="Times New Roman" w:hAnsi="Times New Roman" w:cs="B Nazanin" w:hint="cs"/>
          <w:sz w:val="24"/>
          <w:szCs w:val="24"/>
          <w:rtl/>
        </w:rPr>
        <w:t>2</w:t>
      </w:r>
      <w:proofErr w:type="gramEnd"/>
      <w:r w:rsidRPr="00DE4A22">
        <w:rPr>
          <w:rFonts w:ascii="Times New Roman" w:eastAsia="Times New Roman" w:hAnsi="Times New Roman" w:cs="B Nazanin"/>
          <w:sz w:val="24"/>
          <w:szCs w:val="24"/>
          <w:rtl/>
        </w:rPr>
        <w:t xml:space="preserve"> تبصره در تاريخ </w:t>
      </w:r>
      <w:r>
        <w:rPr>
          <w:rFonts w:ascii="Times New Roman" w:eastAsia="Times New Roman" w:hAnsi="Times New Roman" w:cs="B Nazanin" w:hint="cs"/>
          <w:sz w:val="24"/>
          <w:szCs w:val="24"/>
          <w:rtl/>
        </w:rPr>
        <w:t>09/10/1391</w:t>
      </w:r>
      <w:r w:rsidRPr="00DE4A22">
        <w:rPr>
          <w:rFonts w:ascii="Times New Roman" w:eastAsia="Times New Roman" w:hAnsi="Times New Roman" w:cs="B Nazanin"/>
          <w:sz w:val="24"/>
          <w:szCs w:val="24"/>
          <w:rtl/>
        </w:rPr>
        <w:t xml:space="preserve"> به تصويب هيئت مديره سازمان بورس و اوراق بهادار رسيد و در تاريخ‌هاي </w:t>
      </w:r>
      <w:r>
        <w:rPr>
          <w:rFonts w:ascii="Times New Roman" w:eastAsia="Times New Roman" w:hAnsi="Times New Roman" w:cs="B Nazanin" w:hint="cs"/>
          <w:sz w:val="24"/>
          <w:szCs w:val="24"/>
          <w:rtl/>
        </w:rPr>
        <w:t>12/12/1392</w:t>
      </w:r>
      <w:r w:rsidRPr="00DE4A22">
        <w:rPr>
          <w:rFonts w:ascii="Times New Roman" w:eastAsia="Times New Roman" w:hAnsi="Times New Roman" w:cs="B Nazanin"/>
          <w:sz w:val="24"/>
          <w:szCs w:val="24"/>
          <w:rtl/>
        </w:rPr>
        <w:t xml:space="preserve">و </w:t>
      </w:r>
      <w:r>
        <w:rPr>
          <w:rFonts w:ascii="Times New Roman" w:eastAsia="Times New Roman" w:hAnsi="Times New Roman" w:cs="B Nazanin" w:hint="cs"/>
          <w:sz w:val="24"/>
          <w:szCs w:val="24"/>
          <w:rtl/>
        </w:rPr>
        <w:t>14/04/1393</w:t>
      </w:r>
      <w:r w:rsidR="001B1C41">
        <w:rPr>
          <w:rFonts w:ascii="Times New Roman" w:eastAsia="Times New Roman" w:hAnsi="Times New Roman" w:cs="B Nazanin" w:hint="cs"/>
          <w:sz w:val="24"/>
          <w:szCs w:val="24"/>
          <w:rtl/>
        </w:rPr>
        <w:t>8</w:t>
      </w:r>
      <w:r w:rsidRPr="00DE4A22">
        <w:rPr>
          <w:rFonts w:ascii="Times New Roman" w:eastAsia="Times New Roman" w:hAnsi="Times New Roman" w:cs="B Nazanin"/>
          <w:sz w:val="24"/>
          <w:szCs w:val="24"/>
          <w:rtl/>
        </w:rPr>
        <w:t xml:space="preserve"> </w:t>
      </w:r>
      <w:r w:rsidR="001B1C41">
        <w:rPr>
          <w:rFonts w:ascii="Times New Roman" w:eastAsia="Times New Roman" w:hAnsi="Times New Roman" w:cs="B Nazanin" w:hint="cs"/>
          <w:sz w:val="24"/>
          <w:szCs w:val="24"/>
          <w:rtl/>
        </w:rPr>
        <w:t xml:space="preserve">و 03/05/1397 </w:t>
      </w:r>
      <w:r w:rsidR="00D52874">
        <w:rPr>
          <w:rFonts w:ascii="Times New Roman" w:eastAsia="Times New Roman" w:hAnsi="Times New Roman" w:cs="B Nazanin" w:hint="cs"/>
          <w:sz w:val="24"/>
          <w:szCs w:val="24"/>
          <w:rtl/>
        </w:rPr>
        <w:t xml:space="preserve">و 13/07/1398 </w:t>
      </w:r>
      <w:bookmarkStart w:id="0" w:name="_GoBack"/>
      <w:bookmarkEnd w:id="0"/>
      <w:r w:rsidRPr="00DE4A22">
        <w:rPr>
          <w:rFonts w:ascii="Times New Roman" w:eastAsia="Times New Roman" w:hAnsi="Times New Roman" w:cs="B Nazanin"/>
          <w:sz w:val="24"/>
          <w:szCs w:val="24"/>
          <w:rtl/>
        </w:rPr>
        <w:t>اصلاح گرديد.</w:t>
      </w:r>
    </w:p>
    <w:p w:rsidR="00A82E9B" w:rsidRPr="00DE4A22" w:rsidRDefault="00D52874" w:rsidP="00DE4A22">
      <w:pPr>
        <w:bidi/>
        <w:ind w:left="-180"/>
        <w:jc w:val="lowKashida"/>
        <w:rPr>
          <w:rFonts w:cs="B Nazanin"/>
          <w:sz w:val="24"/>
          <w:szCs w:val="24"/>
        </w:rPr>
      </w:pPr>
    </w:p>
    <w:sectPr w:rsidR="00A82E9B" w:rsidRPr="00DE4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699"/>
    <w:multiLevelType w:val="multilevel"/>
    <w:tmpl w:val="ABD0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16387"/>
    <w:multiLevelType w:val="multilevel"/>
    <w:tmpl w:val="1EA4C3D2"/>
    <w:lvl w:ilvl="0">
      <w:start w:val="3"/>
      <w:numFmt w:val="decimal"/>
      <w:lvlText w:val="%1-"/>
      <w:lvlJc w:val="left"/>
      <w:pPr>
        <w:ind w:left="480" w:hanging="480"/>
      </w:pPr>
      <w:rPr>
        <w:rFonts w:hint="default"/>
        <w:sz w:val="28"/>
      </w:rPr>
    </w:lvl>
    <w:lvl w:ilvl="1">
      <w:start w:val="4"/>
      <w:numFmt w:val="decimal"/>
      <w:lvlText w:val="%1-%2-"/>
      <w:lvlJc w:val="left"/>
      <w:pPr>
        <w:ind w:left="1497" w:hanging="480"/>
      </w:pPr>
      <w:rPr>
        <w:rFonts w:hint="default"/>
        <w:sz w:val="28"/>
      </w:rPr>
    </w:lvl>
    <w:lvl w:ilvl="2">
      <w:start w:val="1"/>
      <w:numFmt w:val="decimal"/>
      <w:lvlText w:val="%1-%2-%3."/>
      <w:lvlJc w:val="left"/>
      <w:pPr>
        <w:ind w:left="2754" w:hanging="720"/>
      </w:pPr>
      <w:rPr>
        <w:rFonts w:hint="default"/>
        <w:sz w:val="28"/>
      </w:rPr>
    </w:lvl>
    <w:lvl w:ilvl="3">
      <w:start w:val="1"/>
      <w:numFmt w:val="decimal"/>
      <w:lvlText w:val="%1-%2-%3.%4."/>
      <w:lvlJc w:val="left"/>
      <w:pPr>
        <w:ind w:left="3771" w:hanging="720"/>
      </w:pPr>
      <w:rPr>
        <w:rFonts w:hint="default"/>
        <w:sz w:val="28"/>
      </w:rPr>
    </w:lvl>
    <w:lvl w:ilvl="4">
      <w:start w:val="1"/>
      <w:numFmt w:val="decimal"/>
      <w:lvlText w:val="%1-%2-%3.%4.%5."/>
      <w:lvlJc w:val="left"/>
      <w:pPr>
        <w:ind w:left="5148" w:hanging="1080"/>
      </w:pPr>
      <w:rPr>
        <w:rFonts w:hint="default"/>
        <w:sz w:val="28"/>
      </w:rPr>
    </w:lvl>
    <w:lvl w:ilvl="5">
      <w:start w:val="1"/>
      <w:numFmt w:val="decimal"/>
      <w:lvlText w:val="%1-%2-%3.%4.%5.%6."/>
      <w:lvlJc w:val="left"/>
      <w:pPr>
        <w:ind w:left="6165" w:hanging="1080"/>
      </w:pPr>
      <w:rPr>
        <w:rFonts w:hint="default"/>
        <w:sz w:val="28"/>
      </w:rPr>
    </w:lvl>
    <w:lvl w:ilvl="6">
      <w:start w:val="1"/>
      <w:numFmt w:val="decimal"/>
      <w:lvlText w:val="%1-%2-%3.%4.%5.%6.%7."/>
      <w:lvlJc w:val="left"/>
      <w:pPr>
        <w:ind w:left="7542" w:hanging="1440"/>
      </w:pPr>
      <w:rPr>
        <w:rFonts w:hint="default"/>
        <w:sz w:val="28"/>
      </w:rPr>
    </w:lvl>
    <w:lvl w:ilvl="7">
      <w:start w:val="1"/>
      <w:numFmt w:val="decimal"/>
      <w:lvlText w:val="%1-%2-%3.%4.%5.%6.%7.%8."/>
      <w:lvlJc w:val="left"/>
      <w:pPr>
        <w:ind w:left="8559" w:hanging="1440"/>
      </w:pPr>
      <w:rPr>
        <w:rFonts w:hint="default"/>
        <w:sz w:val="28"/>
      </w:rPr>
    </w:lvl>
    <w:lvl w:ilvl="8">
      <w:start w:val="1"/>
      <w:numFmt w:val="decimal"/>
      <w:lvlText w:val="%1-%2-%3.%4.%5.%6.%7.%8.%9."/>
      <w:lvlJc w:val="left"/>
      <w:pPr>
        <w:ind w:left="9936" w:hanging="1800"/>
      </w:pPr>
      <w:rPr>
        <w:rFonts w:hint="default"/>
        <w:sz w:val="28"/>
      </w:rPr>
    </w:lvl>
  </w:abstractNum>
  <w:abstractNum w:abstractNumId="2" w15:restartNumberingAfterBreak="0">
    <w:nsid w:val="167410D0"/>
    <w:multiLevelType w:val="multilevel"/>
    <w:tmpl w:val="4F9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B09C7"/>
    <w:multiLevelType w:val="multilevel"/>
    <w:tmpl w:val="81A0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84AC7"/>
    <w:multiLevelType w:val="multilevel"/>
    <w:tmpl w:val="14288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C03EA"/>
    <w:multiLevelType w:val="multilevel"/>
    <w:tmpl w:val="BCC0C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826B2"/>
    <w:multiLevelType w:val="multilevel"/>
    <w:tmpl w:val="70E0A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31B57"/>
    <w:multiLevelType w:val="multilevel"/>
    <w:tmpl w:val="08B2ECBE"/>
    <w:lvl w:ilvl="0">
      <w:start w:val="4"/>
      <w:numFmt w:val="decimal"/>
      <w:lvlText w:val="%1-"/>
      <w:lvlJc w:val="left"/>
      <w:pPr>
        <w:ind w:left="480" w:hanging="480"/>
      </w:pPr>
      <w:rPr>
        <w:rFonts w:hint="default"/>
        <w:sz w:val="28"/>
      </w:rPr>
    </w:lvl>
    <w:lvl w:ilvl="1">
      <w:start w:val="4"/>
      <w:numFmt w:val="decimal"/>
      <w:lvlText w:val="%1-%2-"/>
      <w:lvlJc w:val="left"/>
      <w:pPr>
        <w:ind w:left="1497" w:hanging="480"/>
      </w:pPr>
      <w:rPr>
        <w:rFonts w:hint="default"/>
        <w:sz w:val="28"/>
      </w:rPr>
    </w:lvl>
    <w:lvl w:ilvl="2">
      <w:start w:val="1"/>
      <w:numFmt w:val="decimal"/>
      <w:lvlText w:val="%1-%2-%3."/>
      <w:lvlJc w:val="left"/>
      <w:pPr>
        <w:ind w:left="2754" w:hanging="720"/>
      </w:pPr>
      <w:rPr>
        <w:rFonts w:hint="default"/>
        <w:sz w:val="28"/>
      </w:rPr>
    </w:lvl>
    <w:lvl w:ilvl="3">
      <w:start w:val="1"/>
      <w:numFmt w:val="decimal"/>
      <w:lvlText w:val="%1-%2-%3.%4."/>
      <w:lvlJc w:val="left"/>
      <w:pPr>
        <w:ind w:left="3771" w:hanging="720"/>
      </w:pPr>
      <w:rPr>
        <w:rFonts w:hint="default"/>
        <w:sz w:val="28"/>
      </w:rPr>
    </w:lvl>
    <w:lvl w:ilvl="4">
      <w:start w:val="1"/>
      <w:numFmt w:val="decimal"/>
      <w:lvlText w:val="%1-%2-%3.%4.%5."/>
      <w:lvlJc w:val="left"/>
      <w:pPr>
        <w:ind w:left="5148" w:hanging="1080"/>
      </w:pPr>
      <w:rPr>
        <w:rFonts w:hint="default"/>
        <w:sz w:val="28"/>
      </w:rPr>
    </w:lvl>
    <w:lvl w:ilvl="5">
      <w:start w:val="1"/>
      <w:numFmt w:val="decimal"/>
      <w:lvlText w:val="%1-%2-%3.%4.%5.%6."/>
      <w:lvlJc w:val="left"/>
      <w:pPr>
        <w:ind w:left="6165" w:hanging="1080"/>
      </w:pPr>
      <w:rPr>
        <w:rFonts w:hint="default"/>
        <w:sz w:val="28"/>
      </w:rPr>
    </w:lvl>
    <w:lvl w:ilvl="6">
      <w:start w:val="1"/>
      <w:numFmt w:val="decimal"/>
      <w:lvlText w:val="%1-%2-%3.%4.%5.%6.%7."/>
      <w:lvlJc w:val="left"/>
      <w:pPr>
        <w:ind w:left="7542" w:hanging="1440"/>
      </w:pPr>
      <w:rPr>
        <w:rFonts w:hint="default"/>
        <w:sz w:val="28"/>
      </w:rPr>
    </w:lvl>
    <w:lvl w:ilvl="7">
      <w:start w:val="1"/>
      <w:numFmt w:val="decimal"/>
      <w:lvlText w:val="%1-%2-%3.%4.%5.%6.%7.%8."/>
      <w:lvlJc w:val="left"/>
      <w:pPr>
        <w:ind w:left="8559" w:hanging="1440"/>
      </w:pPr>
      <w:rPr>
        <w:rFonts w:hint="default"/>
        <w:sz w:val="28"/>
      </w:rPr>
    </w:lvl>
    <w:lvl w:ilvl="8">
      <w:start w:val="1"/>
      <w:numFmt w:val="decimal"/>
      <w:lvlText w:val="%1-%2-%3.%4.%5.%6.%7.%8.%9."/>
      <w:lvlJc w:val="left"/>
      <w:pPr>
        <w:ind w:left="9936" w:hanging="1800"/>
      </w:pPr>
      <w:rPr>
        <w:rFonts w:hint="default"/>
        <w:sz w:val="28"/>
      </w:rPr>
    </w:lvl>
  </w:abstractNum>
  <w:abstractNum w:abstractNumId="8" w15:restartNumberingAfterBreak="0">
    <w:nsid w:val="35995C7F"/>
    <w:multiLevelType w:val="multilevel"/>
    <w:tmpl w:val="8D405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C7F4E"/>
    <w:multiLevelType w:val="multilevel"/>
    <w:tmpl w:val="65005018"/>
    <w:lvl w:ilvl="0">
      <w:start w:val="1"/>
      <w:numFmt w:val="decimal"/>
      <w:lvlText w:val="%1-"/>
      <w:lvlJc w:val="left"/>
      <w:pPr>
        <w:ind w:left="480" w:hanging="480"/>
      </w:pPr>
      <w:rPr>
        <w:rFonts w:hint="default"/>
        <w:sz w:val="28"/>
      </w:rPr>
    </w:lvl>
    <w:lvl w:ilvl="1">
      <w:start w:val="4"/>
      <w:numFmt w:val="decimal"/>
      <w:lvlText w:val="%1-%2-"/>
      <w:lvlJc w:val="left"/>
      <w:pPr>
        <w:ind w:left="960" w:hanging="480"/>
      </w:pPr>
      <w:rPr>
        <w:rFonts w:hint="default"/>
        <w:sz w:val="28"/>
      </w:rPr>
    </w:lvl>
    <w:lvl w:ilvl="2">
      <w:start w:val="1"/>
      <w:numFmt w:val="decimal"/>
      <w:lvlText w:val="%1-%2-%3."/>
      <w:lvlJc w:val="left"/>
      <w:pPr>
        <w:ind w:left="1680" w:hanging="720"/>
      </w:pPr>
      <w:rPr>
        <w:rFonts w:hint="default"/>
        <w:sz w:val="28"/>
      </w:rPr>
    </w:lvl>
    <w:lvl w:ilvl="3">
      <w:start w:val="1"/>
      <w:numFmt w:val="decimal"/>
      <w:lvlText w:val="%1-%2-%3.%4."/>
      <w:lvlJc w:val="left"/>
      <w:pPr>
        <w:ind w:left="2160" w:hanging="720"/>
      </w:pPr>
      <w:rPr>
        <w:rFonts w:hint="default"/>
        <w:sz w:val="28"/>
      </w:rPr>
    </w:lvl>
    <w:lvl w:ilvl="4">
      <w:start w:val="1"/>
      <w:numFmt w:val="decimal"/>
      <w:lvlText w:val="%1-%2-%3.%4.%5."/>
      <w:lvlJc w:val="left"/>
      <w:pPr>
        <w:ind w:left="3000" w:hanging="1080"/>
      </w:pPr>
      <w:rPr>
        <w:rFonts w:hint="default"/>
        <w:sz w:val="28"/>
      </w:rPr>
    </w:lvl>
    <w:lvl w:ilvl="5">
      <w:start w:val="1"/>
      <w:numFmt w:val="decimal"/>
      <w:lvlText w:val="%1-%2-%3.%4.%5.%6."/>
      <w:lvlJc w:val="left"/>
      <w:pPr>
        <w:ind w:left="3480" w:hanging="1080"/>
      </w:pPr>
      <w:rPr>
        <w:rFonts w:hint="default"/>
        <w:sz w:val="28"/>
      </w:rPr>
    </w:lvl>
    <w:lvl w:ilvl="6">
      <w:start w:val="1"/>
      <w:numFmt w:val="decimal"/>
      <w:lvlText w:val="%1-%2-%3.%4.%5.%6.%7."/>
      <w:lvlJc w:val="left"/>
      <w:pPr>
        <w:ind w:left="4320" w:hanging="1440"/>
      </w:pPr>
      <w:rPr>
        <w:rFonts w:hint="default"/>
        <w:sz w:val="28"/>
      </w:rPr>
    </w:lvl>
    <w:lvl w:ilvl="7">
      <w:start w:val="1"/>
      <w:numFmt w:val="decimal"/>
      <w:lvlText w:val="%1-%2-%3.%4.%5.%6.%7.%8."/>
      <w:lvlJc w:val="left"/>
      <w:pPr>
        <w:ind w:left="4800" w:hanging="1440"/>
      </w:pPr>
      <w:rPr>
        <w:rFonts w:hint="default"/>
        <w:sz w:val="28"/>
      </w:rPr>
    </w:lvl>
    <w:lvl w:ilvl="8">
      <w:start w:val="1"/>
      <w:numFmt w:val="decimal"/>
      <w:lvlText w:val="%1-%2-%3.%4.%5.%6.%7.%8.%9."/>
      <w:lvlJc w:val="left"/>
      <w:pPr>
        <w:ind w:left="5640" w:hanging="1800"/>
      </w:pPr>
      <w:rPr>
        <w:rFonts w:hint="default"/>
        <w:sz w:val="28"/>
      </w:rPr>
    </w:lvl>
  </w:abstractNum>
  <w:abstractNum w:abstractNumId="10" w15:restartNumberingAfterBreak="0">
    <w:nsid w:val="396F055B"/>
    <w:multiLevelType w:val="multilevel"/>
    <w:tmpl w:val="699C1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F1589"/>
    <w:multiLevelType w:val="multilevel"/>
    <w:tmpl w:val="DA80F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93ED1"/>
    <w:multiLevelType w:val="multilevel"/>
    <w:tmpl w:val="4266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91AEF"/>
    <w:multiLevelType w:val="multilevel"/>
    <w:tmpl w:val="CFFE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51D7E"/>
    <w:multiLevelType w:val="multilevel"/>
    <w:tmpl w:val="1DC8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67C00"/>
    <w:multiLevelType w:val="multilevel"/>
    <w:tmpl w:val="B6485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F6168"/>
    <w:multiLevelType w:val="multilevel"/>
    <w:tmpl w:val="435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06F06"/>
    <w:multiLevelType w:val="multilevel"/>
    <w:tmpl w:val="099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B30E5"/>
    <w:multiLevelType w:val="multilevel"/>
    <w:tmpl w:val="E8966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0212A"/>
    <w:multiLevelType w:val="multilevel"/>
    <w:tmpl w:val="0548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12E73"/>
    <w:multiLevelType w:val="multilevel"/>
    <w:tmpl w:val="5CEE8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0"/>
  </w:num>
  <w:num w:numId="4">
    <w:abstractNumId w:val="15"/>
  </w:num>
  <w:num w:numId="5">
    <w:abstractNumId w:val="13"/>
  </w:num>
  <w:num w:numId="6">
    <w:abstractNumId w:val="10"/>
  </w:num>
  <w:num w:numId="7">
    <w:abstractNumId w:val="11"/>
  </w:num>
  <w:num w:numId="8">
    <w:abstractNumId w:val="8"/>
  </w:num>
  <w:num w:numId="9">
    <w:abstractNumId w:val="17"/>
  </w:num>
  <w:num w:numId="10">
    <w:abstractNumId w:val="2"/>
  </w:num>
  <w:num w:numId="11">
    <w:abstractNumId w:val="20"/>
  </w:num>
  <w:num w:numId="12">
    <w:abstractNumId w:val="5"/>
  </w:num>
  <w:num w:numId="13">
    <w:abstractNumId w:val="4"/>
  </w:num>
  <w:num w:numId="14">
    <w:abstractNumId w:val="19"/>
  </w:num>
  <w:num w:numId="15">
    <w:abstractNumId w:val="3"/>
  </w:num>
  <w:num w:numId="16">
    <w:abstractNumId w:val="12"/>
  </w:num>
  <w:num w:numId="17">
    <w:abstractNumId w:val="6"/>
  </w:num>
  <w:num w:numId="18">
    <w:abstractNumId w:val="16"/>
  </w:num>
  <w:num w:numId="19">
    <w:abstractNumId w:val="9"/>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22"/>
    <w:rsid w:val="00007E13"/>
    <w:rsid w:val="001B1C41"/>
    <w:rsid w:val="00434768"/>
    <w:rsid w:val="00483B5F"/>
    <w:rsid w:val="006D0A71"/>
    <w:rsid w:val="00B9110F"/>
    <w:rsid w:val="00C63D1E"/>
    <w:rsid w:val="00D52874"/>
    <w:rsid w:val="00DE4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70A4"/>
  <w15:chartTrackingRefBased/>
  <w15:docId w15:val="{2FDB8F4F-508D-47AB-A2A8-CAD7C256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4A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4A22"/>
    <w:rPr>
      <w:rFonts w:ascii="Times New Roman" w:eastAsia="Times New Roman" w:hAnsi="Times New Roman" w:cs="Times New Roman"/>
      <w:b/>
      <w:bCs/>
      <w:sz w:val="27"/>
      <w:szCs w:val="27"/>
    </w:rPr>
  </w:style>
  <w:style w:type="character" w:customStyle="1" w:styleId="highlight-text">
    <w:name w:val="highlight-text"/>
    <w:basedOn w:val="DefaultParagraphFont"/>
    <w:rsid w:val="00DE4A22"/>
  </w:style>
  <w:style w:type="character" w:styleId="Strong">
    <w:name w:val="Strong"/>
    <w:basedOn w:val="DefaultParagraphFont"/>
    <w:uiPriority w:val="22"/>
    <w:qFormat/>
    <w:rsid w:val="00DE4A22"/>
    <w:rPr>
      <w:b/>
      <w:bCs/>
    </w:rPr>
  </w:style>
  <w:style w:type="character" w:customStyle="1" w:styleId="tanghihstatus-1">
    <w:name w:val="tanghihstatus-1"/>
    <w:basedOn w:val="DefaultParagraphFont"/>
    <w:rsid w:val="00DE4A22"/>
  </w:style>
  <w:style w:type="character" w:customStyle="1" w:styleId="tanghihstatus-4">
    <w:name w:val="tanghihstatus-4"/>
    <w:basedOn w:val="DefaultParagraphFont"/>
    <w:rsid w:val="00DE4A22"/>
  </w:style>
  <w:style w:type="character" w:customStyle="1" w:styleId="tanghihstatus-5">
    <w:name w:val="tanghihstatus-5"/>
    <w:basedOn w:val="DefaultParagraphFont"/>
    <w:rsid w:val="00DE4A22"/>
  </w:style>
  <w:style w:type="character" w:customStyle="1" w:styleId="aspnetdisabled">
    <w:name w:val="aspnetdisabled"/>
    <w:basedOn w:val="DefaultParagraphFont"/>
    <w:rsid w:val="00DE4A22"/>
  </w:style>
  <w:style w:type="paragraph" w:styleId="ListParagraph">
    <w:name w:val="List Paragraph"/>
    <w:aliases w:val="Bullet,پاراگراف-بالت دار"/>
    <w:basedOn w:val="Normal"/>
    <w:link w:val="ListParagraphChar"/>
    <w:uiPriority w:val="34"/>
    <w:qFormat/>
    <w:rsid w:val="00007E13"/>
    <w:pPr>
      <w:spacing w:after="200" w:line="276" w:lineRule="auto"/>
      <w:ind w:left="720"/>
      <w:contextualSpacing/>
    </w:pPr>
    <w:rPr>
      <w:rFonts w:ascii="Calibri" w:eastAsia="Calibri" w:hAnsi="Calibri" w:cs="Arial"/>
    </w:rPr>
  </w:style>
  <w:style w:type="character" w:customStyle="1" w:styleId="ListParagraphChar">
    <w:name w:val="List Paragraph Char"/>
    <w:aliases w:val="Bullet Char,پاراگراف-بالت دار Char"/>
    <w:link w:val="ListParagraph"/>
    <w:uiPriority w:val="34"/>
    <w:locked/>
    <w:rsid w:val="00007E1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08523">
      <w:bodyDiv w:val="1"/>
      <w:marLeft w:val="0"/>
      <w:marRight w:val="0"/>
      <w:marTop w:val="0"/>
      <w:marBottom w:val="0"/>
      <w:divBdr>
        <w:top w:val="none" w:sz="0" w:space="0" w:color="auto"/>
        <w:left w:val="none" w:sz="0" w:space="0" w:color="auto"/>
        <w:bottom w:val="none" w:sz="0" w:space="0" w:color="auto"/>
        <w:right w:val="none" w:sz="0" w:space="0" w:color="auto"/>
      </w:divBdr>
      <w:divsChild>
        <w:div w:id="1743525824">
          <w:marLeft w:val="0"/>
          <w:marRight w:val="0"/>
          <w:marTop w:val="0"/>
          <w:marBottom w:val="0"/>
          <w:divBdr>
            <w:top w:val="none" w:sz="0" w:space="0" w:color="auto"/>
            <w:left w:val="none" w:sz="0" w:space="0" w:color="auto"/>
            <w:bottom w:val="none" w:sz="0" w:space="0" w:color="auto"/>
            <w:right w:val="none" w:sz="0" w:space="0" w:color="auto"/>
          </w:divBdr>
        </w:div>
        <w:div w:id="1372271117">
          <w:marLeft w:val="0"/>
          <w:marRight w:val="0"/>
          <w:marTop w:val="0"/>
          <w:marBottom w:val="0"/>
          <w:divBdr>
            <w:top w:val="none" w:sz="0" w:space="0" w:color="auto"/>
            <w:left w:val="none" w:sz="0" w:space="0" w:color="auto"/>
            <w:bottom w:val="none" w:sz="0" w:space="0" w:color="auto"/>
            <w:right w:val="none" w:sz="0" w:space="0" w:color="auto"/>
          </w:divBdr>
          <w:divsChild>
            <w:div w:id="1372994523">
              <w:marLeft w:val="0"/>
              <w:marRight w:val="0"/>
              <w:marTop w:val="0"/>
              <w:marBottom w:val="0"/>
              <w:divBdr>
                <w:top w:val="none" w:sz="0" w:space="0" w:color="auto"/>
                <w:left w:val="none" w:sz="0" w:space="0" w:color="auto"/>
                <w:bottom w:val="none" w:sz="0" w:space="0" w:color="auto"/>
                <w:right w:val="none" w:sz="0" w:space="0" w:color="auto"/>
              </w:divBdr>
              <w:divsChild>
                <w:div w:id="780101972">
                  <w:marLeft w:val="0"/>
                  <w:marRight w:val="0"/>
                  <w:marTop w:val="0"/>
                  <w:marBottom w:val="0"/>
                  <w:divBdr>
                    <w:top w:val="none" w:sz="0" w:space="0" w:color="auto"/>
                    <w:left w:val="none" w:sz="0" w:space="0" w:color="auto"/>
                    <w:bottom w:val="none" w:sz="0" w:space="0" w:color="auto"/>
                    <w:right w:val="none" w:sz="0" w:space="0" w:color="auto"/>
                  </w:divBdr>
                </w:div>
              </w:divsChild>
            </w:div>
            <w:div w:id="53089764">
              <w:marLeft w:val="0"/>
              <w:marRight w:val="0"/>
              <w:marTop w:val="0"/>
              <w:marBottom w:val="0"/>
              <w:divBdr>
                <w:top w:val="none" w:sz="0" w:space="0" w:color="auto"/>
                <w:left w:val="none" w:sz="0" w:space="0" w:color="auto"/>
                <w:bottom w:val="none" w:sz="0" w:space="0" w:color="auto"/>
                <w:right w:val="none" w:sz="0" w:space="0" w:color="auto"/>
              </w:divBdr>
              <w:divsChild>
                <w:div w:id="1169633203">
                  <w:marLeft w:val="0"/>
                  <w:marRight w:val="0"/>
                  <w:marTop w:val="0"/>
                  <w:marBottom w:val="0"/>
                  <w:divBdr>
                    <w:top w:val="none" w:sz="0" w:space="0" w:color="auto"/>
                    <w:left w:val="none" w:sz="0" w:space="0" w:color="auto"/>
                    <w:bottom w:val="none" w:sz="0" w:space="0" w:color="auto"/>
                    <w:right w:val="none" w:sz="0" w:space="0" w:color="auto"/>
                  </w:divBdr>
                  <w:divsChild>
                    <w:div w:id="92020118">
                      <w:marLeft w:val="0"/>
                      <w:marRight w:val="0"/>
                      <w:marTop w:val="0"/>
                      <w:marBottom w:val="0"/>
                      <w:divBdr>
                        <w:top w:val="none" w:sz="0" w:space="0" w:color="auto"/>
                        <w:left w:val="none" w:sz="0" w:space="0" w:color="auto"/>
                        <w:bottom w:val="none" w:sz="0" w:space="0" w:color="auto"/>
                        <w:right w:val="none" w:sz="0" w:space="0" w:color="auto"/>
                      </w:divBdr>
                    </w:div>
                    <w:div w:id="6024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19907">
      <w:bodyDiv w:val="1"/>
      <w:marLeft w:val="0"/>
      <w:marRight w:val="0"/>
      <w:marTop w:val="0"/>
      <w:marBottom w:val="0"/>
      <w:divBdr>
        <w:top w:val="none" w:sz="0" w:space="0" w:color="auto"/>
        <w:left w:val="none" w:sz="0" w:space="0" w:color="auto"/>
        <w:bottom w:val="none" w:sz="0" w:space="0" w:color="auto"/>
        <w:right w:val="none" w:sz="0" w:space="0" w:color="auto"/>
      </w:divBdr>
      <w:divsChild>
        <w:div w:id="87026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11</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Nazhd Taghavian</dc:creator>
  <cp:keywords/>
  <dc:description/>
  <cp:lastModifiedBy>Mitra Nazhd Taghavian</cp:lastModifiedBy>
  <cp:revision>5</cp:revision>
  <dcterms:created xsi:type="dcterms:W3CDTF">2018-12-09T08:58:00Z</dcterms:created>
  <dcterms:modified xsi:type="dcterms:W3CDTF">2019-10-20T07:51:00Z</dcterms:modified>
</cp:coreProperties>
</file>